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840DC">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0" w:firstLineChars="0"/>
        <w:jc w:val="center"/>
        <w:textAlignment w:val="auto"/>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人民防空工程平时开发利用</w:t>
      </w:r>
    </w:p>
    <w:p w14:paraId="55D106B1">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0" w:firstLineChars="0"/>
        <w:jc w:val="center"/>
        <w:textAlignment w:val="auto"/>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备案登记办法</w:t>
      </w:r>
    </w:p>
    <w:p w14:paraId="64B5D374">
      <w:pPr>
        <w:keepNext w:val="0"/>
        <w:keepLines w:val="0"/>
        <w:pageBreakBefore w:val="0"/>
        <w:widowControl w:val="0"/>
        <w:shd w:val="clear"/>
        <w:kinsoku/>
        <w:wordWrap/>
        <w:overflowPunct w:val="0"/>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44"/>
          <w:szCs w:val="44"/>
          <w14:textFill>
            <w14:solidFill>
              <w14:schemeClr w14:val="tx1"/>
            </w14:solidFill>
          </w14:textFill>
        </w:rPr>
      </w:pPr>
    </w:p>
    <w:p w14:paraId="0D21479E">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了</w:t>
      </w:r>
      <w:r>
        <w:rPr>
          <w:rFonts w:hint="default" w:ascii="Times New Roman" w:hAnsi="Times New Roman" w:eastAsia="仿宋_GB2312" w:cs="Times New Roman"/>
          <w:color w:val="000000" w:themeColor="text1"/>
          <w:sz w:val="32"/>
          <w:szCs w:val="32"/>
          <w14:textFill>
            <w14:solidFill>
              <w14:schemeClr w14:val="tx1"/>
            </w14:solidFill>
          </w14:textFill>
        </w:rPr>
        <w:t>加强我市现有人民防空工程</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以下简称人防工程</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的管理，提高人防工程平时使用效率和管理维护水平，根据《中华人民共和国人民防空法》《陕西省实施</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&lt;</w:t>
      </w:r>
      <w:r>
        <w:rPr>
          <w:rFonts w:hint="default" w:ascii="Times New Roman" w:hAnsi="Times New Roman" w:eastAsia="仿宋_GB2312" w:cs="Times New Roman"/>
          <w:color w:val="000000" w:themeColor="text1"/>
          <w:sz w:val="32"/>
          <w:szCs w:val="32"/>
          <w14:textFill>
            <w14:solidFill>
              <w14:schemeClr w14:val="tx1"/>
            </w14:solidFill>
          </w14:textFill>
        </w:rPr>
        <w:t>中华人民共和国人民防空法</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&gt;</w:t>
      </w:r>
      <w:r>
        <w:rPr>
          <w:rFonts w:hint="default" w:ascii="Times New Roman" w:hAnsi="Times New Roman" w:eastAsia="仿宋_GB2312" w:cs="Times New Roman"/>
          <w:color w:val="000000" w:themeColor="text1"/>
          <w:sz w:val="32"/>
          <w:szCs w:val="32"/>
          <w14:textFill>
            <w14:solidFill>
              <w14:schemeClr w14:val="tx1"/>
            </w14:solidFill>
          </w14:textFill>
        </w:rPr>
        <w:t>办法》《陕西省物业服务管理条例》国家人民防空办公室</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人民防空工程平时开发利用管理办法》等有关规定，结合我市实际，制定本办法。</w:t>
      </w:r>
    </w:p>
    <w:p w14:paraId="10ADD738">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一、各县</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市</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人民防空主管部门</w:t>
      </w:r>
      <w:r>
        <w:rPr>
          <w:rFonts w:hint="default" w:ascii="Times New Roman" w:hAnsi="Times New Roman" w:eastAsia="仿宋_GB2312" w:cs="Times New Roman"/>
          <w:color w:val="000000" w:themeColor="text1"/>
          <w:sz w:val="32"/>
          <w:szCs w:val="32"/>
          <w14:textFill>
            <w14:solidFill>
              <w14:schemeClr w14:val="tx1"/>
            </w14:solidFill>
          </w14:textFill>
        </w:rPr>
        <w:t>负责本辖区内的人防工程平时开发利用备案登记工作，办理相关手续。</w:t>
      </w:r>
    </w:p>
    <w:p w14:paraId="0F26A618">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二、本办法所称人防工程</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及设施</w:t>
      </w:r>
      <w:r>
        <w:rPr>
          <w:rFonts w:hint="default" w:ascii="Times New Roman" w:hAnsi="Times New Roman" w:eastAsia="仿宋_GB2312" w:cs="Times New Roman"/>
          <w:color w:val="000000" w:themeColor="text1"/>
          <w:sz w:val="32"/>
          <w:szCs w:val="32"/>
          <w14:textFill>
            <w14:solidFill>
              <w14:schemeClr w14:val="tx1"/>
            </w14:solidFill>
          </w14:textFill>
        </w:rPr>
        <w:t>包括</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为</w:t>
      </w:r>
      <w:r>
        <w:rPr>
          <w:rFonts w:hint="default" w:ascii="Times New Roman" w:hAnsi="Times New Roman" w:eastAsia="仿宋_GB2312" w:cs="Times New Roman"/>
          <w:color w:val="000000" w:themeColor="text1"/>
          <w:sz w:val="32"/>
          <w:szCs w:val="32"/>
          <w14:textFill>
            <w14:solidFill>
              <w14:schemeClr w14:val="tx1"/>
            </w14:solidFill>
          </w14:textFill>
        </w:rPr>
        <w:t>保障战时人员与物资掩蔽、医疗救护等而单独修建的地下防护建筑，以及结合地面建筑修建的战时可用于防空的地下室。</w:t>
      </w:r>
    </w:p>
    <w:p w14:paraId="4FBAAC54">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人防工程的隶属单位或使用单位负责人防工程平时开发利用工作，接受人民防空主管部门的监督检查。公用的人员掩蔽工程和疏散干道工程隶属单位和使用单位为负责人防工程建设与管理的人民防空主管部门；医疗救护、物资储备等专用工程隶属单位和使用单位为负责组织修建的有关部门；结合地面建筑修建防空地下室的使用单位为人防工程的建设单位，建设单位将人防工程移交给其他单位或委托其他单位管理的，人防工程接收单位或被委托管理单位则即为使用单位。</w:t>
      </w:r>
    </w:p>
    <w:p w14:paraId="50B8B514">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四、人防工程平时需要开发利用的，应当经</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人民防空</w:t>
      </w:r>
      <w:r>
        <w:rPr>
          <w:rFonts w:hint="default" w:ascii="Times New Roman" w:hAnsi="Times New Roman" w:eastAsia="仿宋_GB2312" w:cs="Times New Roman"/>
          <w:color w:val="000000" w:themeColor="text1"/>
          <w:sz w:val="32"/>
          <w:szCs w:val="32"/>
          <w14:textFill>
            <w14:solidFill>
              <w14:schemeClr w14:val="tx1"/>
            </w14:solidFill>
          </w14:textFill>
        </w:rPr>
        <w:t>行政主管部门验收合格。</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人防工程应当设置</w:t>
      </w:r>
      <w:r>
        <w:rPr>
          <w:rFonts w:hint="default" w:ascii="Times New Roman" w:hAnsi="Times New Roman" w:eastAsia="仿宋_GB2312" w:cs="Times New Roman"/>
          <w:color w:val="000000" w:themeColor="text1"/>
          <w:sz w:val="32"/>
          <w:szCs w:val="32"/>
          <w14:textFill>
            <w14:solidFill>
              <w14:schemeClr w14:val="tx1"/>
            </w14:solidFill>
          </w14:textFill>
        </w:rPr>
        <w:t>符合人防规范的人防工程标识，</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平时</w:t>
      </w:r>
      <w:r>
        <w:rPr>
          <w:rFonts w:hint="default" w:ascii="Times New Roman" w:hAnsi="Times New Roman" w:eastAsia="仿宋_GB2312" w:cs="Times New Roman"/>
          <w:color w:val="000000" w:themeColor="text1"/>
          <w:sz w:val="32"/>
          <w:szCs w:val="32"/>
          <w14:textFill>
            <w14:solidFill>
              <w14:schemeClr w14:val="tx1"/>
            </w14:solidFill>
          </w14:textFill>
        </w:rPr>
        <w:t>用于停车</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用途</w:t>
      </w:r>
      <w:r>
        <w:rPr>
          <w:rFonts w:hint="default" w:ascii="Times New Roman" w:hAnsi="Times New Roman" w:eastAsia="仿宋_GB2312" w:cs="Times New Roman"/>
          <w:color w:val="000000" w:themeColor="text1"/>
          <w:sz w:val="32"/>
          <w:szCs w:val="32"/>
          <w14:textFill>
            <w14:solidFill>
              <w14:schemeClr w14:val="tx1"/>
            </w14:solidFill>
          </w14:textFill>
        </w:rPr>
        <w:t>的人防工程</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应当设置</w:t>
      </w:r>
      <w:r>
        <w:rPr>
          <w:rFonts w:hint="default" w:ascii="Times New Roman" w:hAnsi="Times New Roman" w:eastAsia="仿宋_GB2312" w:cs="Times New Roman"/>
          <w:color w:val="000000" w:themeColor="text1"/>
          <w:sz w:val="32"/>
          <w:szCs w:val="32"/>
          <w14:textFill>
            <w14:solidFill>
              <w14:schemeClr w14:val="tx1"/>
            </w14:solidFill>
          </w14:textFill>
        </w:rPr>
        <w:t>人防车位标识。</w:t>
      </w:r>
    </w:p>
    <w:p w14:paraId="6D838582">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五、人防工程平时开发利用实行备案登记制度，人防工程的使用单位是人防工程平时开发利用备案登记的责任主体，</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在</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使用工程前应当</w:t>
      </w:r>
      <w:r>
        <w:rPr>
          <w:rFonts w:hint="default" w:ascii="Times New Roman" w:hAnsi="Times New Roman" w:eastAsia="仿宋_GB2312" w:cs="Times New Roman"/>
          <w:color w:val="000000" w:themeColor="text1"/>
          <w:sz w:val="32"/>
          <w:szCs w:val="32"/>
          <w14:textFill>
            <w14:solidFill>
              <w14:schemeClr w14:val="tx1"/>
            </w14:solidFill>
          </w14:textFill>
        </w:rPr>
        <w:t>到所在县</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（市、区）</w:t>
      </w:r>
      <w:r>
        <w:rPr>
          <w:rFonts w:hint="default" w:ascii="Times New Roman" w:hAnsi="Times New Roman" w:eastAsia="仿宋_GB2312" w:cs="Times New Roman"/>
          <w:color w:val="000000" w:themeColor="text1"/>
          <w:sz w:val="32"/>
          <w:szCs w:val="32"/>
          <w14:textFill>
            <w14:solidFill>
              <w14:schemeClr w14:val="tx1"/>
            </w14:solidFill>
          </w14:textFill>
        </w:rPr>
        <w:t>人民防空主管部门办理备案登记手续后，方可使用人防工程。</w:t>
      </w:r>
    </w:p>
    <w:p w14:paraId="080AAE4D">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六、人防工程</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隶属</w:t>
      </w:r>
      <w:r>
        <w:rPr>
          <w:rFonts w:hint="default" w:ascii="Times New Roman" w:hAnsi="Times New Roman" w:eastAsia="仿宋_GB2312" w:cs="Times New Roman"/>
          <w:color w:val="000000" w:themeColor="text1"/>
          <w:sz w:val="32"/>
          <w:szCs w:val="32"/>
          <w14:textFill>
            <w14:solidFill>
              <w14:schemeClr w14:val="tx1"/>
            </w14:solidFill>
          </w14:textFill>
        </w:rPr>
        <w:t>单位</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将</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工程</w:t>
      </w:r>
      <w:r>
        <w:rPr>
          <w:rFonts w:hint="default" w:ascii="Times New Roman" w:hAnsi="Times New Roman" w:eastAsia="仿宋_GB2312" w:cs="Times New Roman"/>
          <w:color w:val="000000" w:themeColor="text1"/>
          <w:sz w:val="32"/>
          <w:szCs w:val="32"/>
          <w14:textFill>
            <w14:solidFill>
              <w14:schemeClr w14:val="tx1"/>
            </w14:solidFill>
          </w14:textFill>
        </w:rPr>
        <w:t>出租给其他单位使用的，应当与使用单位签订《人民防空工程租赁使用合同》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明确双方权利义务，</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并</w:t>
      </w:r>
      <w:r>
        <w:rPr>
          <w:rFonts w:hint="default" w:ascii="Times New Roman" w:hAnsi="Times New Roman" w:eastAsia="仿宋_GB2312" w:cs="Times New Roman"/>
          <w:color w:val="000000" w:themeColor="text1"/>
          <w:sz w:val="32"/>
          <w:szCs w:val="32"/>
          <w14:textFill>
            <w14:solidFill>
              <w14:schemeClr w14:val="tx1"/>
            </w14:solidFill>
          </w14:textFill>
        </w:rPr>
        <w:t>督促</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其</w:t>
      </w:r>
      <w:r>
        <w:rPr>
          <w:rFonts w:hint="default" w:ascii="Times New Roman" w:hAnsi="Times New Roman" w:eastAsia="仿宋_GB2312" w:cs="Times New Roman"/>
          <w:color w:val="000000" w:themeColor="text1"/>
          <w:sz w:val="32"/>
          <w:szCs w:val="32"/>
          <w14:textFill>
            <w14:solidFill>
              <w14:schemeClr w14:val="tx1"/>
            </w14:solidFill>
          </w14:textFill>
        </w:rPr>
        <w:t>到所在县</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（市、区）</w:t>
      </w:r>
      <w:r>
        <w:rPr>
          <w:rFonts w:hint="default" w:ascii="Times New Roman" w:hAnsi="Times New Roman" w:eastAsia="仿宋_GB2312" w:cs="Times New Roman"/>
          <w:color w:val="000000" w:themeColor="text1"/>
          <w:sz w:val="32"/>
          <w:szCs w:val="32"/>
          <w14:textFill>
            <w14:solidFill>
              <w14:schemeClr w14:val="tx1"/>
            </w14:solidFill>
          </w14:textFill>
        </w:rPr>
        <w:t>人民防空主管部门办理备案登记手续。</w:t>
      </w:r>
    </w:p>
    <w:p w14:paraId="3FDD37B7">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人防工程使用单位在合同期内不得擅自转租人防工程或者转让人防工程使用权，因故确需转租或者转让的，必须报经原备案的人民防空主管部门重新备案。</w:t>
      </w:r>
    </w:p>
    <w:p w14:paraId="52DE6115">
      <w:pPr>
        <w:keepNext w:val="0"/>
        <w:keepLines w:val="0"/>
        <w:pageBreakBefore w:val="0"/>
        <w:widowControl w:val="0"/>
        <w:numPr>
          <w:ilvl w:val="0"/>
          <w:numId w:val="0"/>
        </w:numPr>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七、</w:t>
      </w:r>
      <w:r>
        <w:rPr>
          <w:rFonts w:hint="default" w:ascii="Times New Roman" w:hAnsi="Times New Roman" w:eastAsia="仿宋_GB2312" w:cs="Times New Roman"/>
          <w:color w:val="000000" w:themeColor="text1"/>
          <w:spacing w:val="0"/>
          <w:sz w:val="32"/>
          <w:szCs w:val="32"/>
          <w14:textFill>
            <w14:solidFill>
              <w14:schemeClr w14:val="tx1"/>
            </w14:solidFill>
          </w14:textFill>
        </w:rPr>
        <w:t>人防工程使用单位应按规定对人防工程及设施进行维护、</w:t>
      </w:r>
      <w:r>
        <w:rPr>
          <w:rFonts w:hint="default" w:ascii="Times New Roman" w:hAnsi="Times New Roman" w:eastAsia="仿宋_GB2312" w:cs="Times New Roman"/>
          <w:color w:val="000000" w:themeColor="text1"/>
          <w:spacing w:val="-6"/>
          <w:sz w:val="32"/>
          <w:szCs w:val="32"/>
          <w14:textFill>
            <w14:solidFill>
              <w14:schemeClr w14:val="tx1"/>
            </w14:solidFill>
          </w14:textFill>
        </w:rPr>
        <w:t>修缮和管理，使其保持良好的战时功能和平时使用状态。建立健全各项管理制度，落实消防、防汛、治安等工作责任。</w:t>
      </w:r>
    </w:p>
    <w:p w14:paraId="26CF80F2">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八、</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使用单位在</w:t>
      </w:r>
      <w:r>
        <w:rPr>
          <w:rFonts w:hint="default" w:ascii="Times New Roman" w:hAnsi="Times New Roman" w:eastAsia="仿宋_GB2312" w:cs="Times New Roman"/>
          <w:color w:val="000000" w:themeColor="text1"/>
          <w:sz w:val="32"/>
          <w:szCs w:val="32"/>
          <w14:textFill>
            <w14:solidFill>
              <w14:schemeClr w14:val="tx1"/>
            </w14:solidFill>
          </w14:textFill>
        </w:rPr>
        <w:t>平时使用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中</w:t>
      </w:r>
      <w:r>
        <w:rPr>
          <w:rFonts w:hint="default" w:ascii="Times New Roman" w:hAnsi="Times New Roman" w:eastAsia="仿宋_GB2312" w:cs="Times New Roman"/>
          <w:color w:val="000000" w:themeColor="text1"/>
          <w:sz w:val="32"/>
          <w:szCs w:val="32"/>
          <w14:textFill>
            <w14:solidFill>
              <w14:schemeClr w14:val="tx1"/>
            </w14:solidFill>
          </w14:textFill>
        </w:rPr>
        <w:t>需要对人防工程进行</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装修</w:t>
      </w:r>
      <w:r>
        <w:rPr>
          <w:rFonts w:hint="default" w:ascii="Times New Roman" w:hAnsi="Times New Roman" w:eastAsia="仿宋_GB2312" w:cs="Times New Roman"/>
          <w:color w:val="000000" w:themeColor="text1"/>
          <w:sz w:val="32"/>
          <w:szCs w:val="32"/>
          <w14:textFill>
            <w14:solidFill>
              <w14:schemeClr w14:val="tx1"/>
            </w14:solidFill>
          </w14:textFill>
        </w:rPr>
        <w:t>改造</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的</w:t>
      </w:r>
      <w:r>
        <w:rPr>
          <w:rFonts w:hint="default" w:ascii="Times New Roman" w:hAnsi="Times New Roman" w:eastAsia="仿宋_GB2312" w:cs="Times New Roman"/>
          <w:color w:val="000000" w:themeColor="text1"/>
          <w:sz w:val="32"/>
          <w:szCs w:val="32"/>
          <w14:textFill>
            <w14:solidFill>
              <w14:schemeClr w14:val="tx1"/>
            </w14:solidFill>
          </w14:textFill>
        </w:rPr>
        <w:t>，应</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向工程隶属单位书面申请，并</w:t>
      </w:r>
      <w:r>
        <w:rPr>
          <w:rFonts w:hint="default" w:ascii="Times New Roman" w:hAnsi="Times New Roman" w:eastAsia="仿宋_GB2312" w:cs="Times New Roman"/>
          <w:color w:val="000000" w:themeColor="text1"/>
          <w:sz w:val="32"/>
          <w:szCs w:val="32"/>
          <w14:textFill>
            <w14:solidFill>
              <w14:schemeClr w14:val="tx1"/>
            </w14:solidFill>
          </w14:textFill>
        </w:rPr>
        <w:t>按照有关规定、规范进行设计，经人防主管部门批准后实施。</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装修</w:t>
      </w:r>
      <w:r>
        <w:rPr>
          <w:rFonts w:hint="default" w:ascii="Times New Roman" w:hAnsi="Times New Roman" w:eastAsia="仿宋_GB2312" w:cs="Times New Roman"/>
          <w:color w:val="000000" w:themeColor="text1"/>
          <w:sz w:val="32"/>
          <w:szCs w:val="32"/>
          <w14:textFill>
            <w14:solidFill>
              <w14:schemeClr w14:val="tx1"/>
            </w14:solidFill>
          </w14:textFill>
        </w:rPr>
        <w:t>改造不得降低人防工程的防护能力，不得改变人防工程的主体结构，不得影响其防空效能。改造后的人防工程</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应当经人防主管部门验收合格重新</w:t>
      </w:r>
      <w:r>
        <w:rPr>
          <w:rFonts w:hint="default" w:ascii="Times New Roman" w:hAnsi="Times New Roman" w:eastAsia="仿宋_GB2312" w:cs="Times New Roman"/>
          <w:color w:val="000000" w:themeColor="text1"/>
          <w:sz w:val="32"/>
          <w:szCs w:val="32"/>
          <w14:textFill>
            <w14:solidFill>
              <w14:schemeClr w14:val="tx1"/>
            </w14:solidFill>
          </w14:textFill>
        </w:rPr>
        <w:t>办理平时开发使用备案登记手续。</w:t>
      </w:r>
    </w:p>
    <w:p w14:paraId="5FF92398">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九、如遇有战争、重大自然灾害、政策调整等重大事件时，人防工程使用单位应当在规定的期限内恢复人防工程防护功能，由人民防空主管部门统一调配使用。</w:t>
      </w:r>
    </w:p>
    <w:p w14:paraId="112D1ED9">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十、各级人民防空主管部门负责辖区内的人民防空工程平时开发利用实施监督检查，对违反相关规定的行为依法予以处理。</w:t>
      </w:r>
    </w:p>
    <w:p w14:paraId="363B3EA6">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十一、人防工程平时开发利用实行免费备案登记</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所需要</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提交</w:t>
      </w:r>
      <w:r>
        <w:rPr>
          <w:rFonts w:hint="default" w:ascii="Times New Roman" w:hAnsi="Times New Roman" w:eastAsia="仿宋_GB2312" w:cs="Times New Roman"/>
          <w:color w:val="000000" w:themeColor="text1"/>
          <w:sz w:val="32"/>
          <w:szCs w:val="32"/>
          <w14:textFill>
            <w14:solidFill>
              <w14:schemeClr w14:val="tx1"/>
            </w14:solidFill>
          </w14:textFill>
        </w:rPr>
        <w:t>的资料如下：</w:t>
      </w:r>
    </w:p>
    <w:p w14:paraId="77DA683D">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使用申请书；</w:t>
      </w:r>
    </w:p>
    <w:p w14:paraId="38697AD7">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14:textFill>
            <w14:solidFill>
              <w14:schemeClr w14:val="tx1"/>
            </w14:solidFill>
          </w14:textFill>
        </w:rPr>
        <w:t>人防工程平时使用和变更使用备案登记表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14:paraId="303AA2DF">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（三）</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人防工程基本情况登记表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14:paraId="32A50C59">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eastAsia" w:ascii="Times New Roman" w:hAnsi="Times New Roman" w:eastAsia="仿宋_GB2312" w:cs="Times New Roman"/>
          <w:snapToGrid w:val="0"/>
          <w:color w:val="000000" w:themeColor="text1"/>
          <w:spacing w:val="6"/>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（四）</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当地人防主管部门</w:t>
      </w:r>
      <w:r>
        <w:rPr>
          <w:rFonts w:hint="eastAsia" w:ascii="Times New Roman" w:hAnsi="Times New Roman" w:eastAsia="仿宋_GB2312" w:cs="Times New Roman"/>
          <w:snapToGrid w:val="0"/>
          <w:color w:val="000000" w:themeColor="text1"/>
          <w:spacing w:val="6"/>
          <w:kern w:val="0"/>
          <w:sz w:val="32"/>
          <w:szCs w:val="32"/>
          <w:lang w:val="en-US" w:eastAsia="zh-CN"/>
          <w14:textFill>
            <w14:solidFill>
              <w14:schemeClr w14:val="tx1"/>
            </w14:solidFill>
          </w14:textFill>
        </w:rPr>
        <w:t>出具的竣工</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验收合格</w:t>
      </w:r>
      <w:r>
        <w:rPr>
          <w:rFonts w:hint="eastAsia" w:ascii="Times New Roman" w:hAnsi="Times New Roman" w:eastAsia="仿宋_GB2312" w:cs="Times New Roman"/>
          <w:snapToGrid w:val="0"/>
          <w:color w:val="000000" w:themeColor="text1"/>
          <w:spacing w:val="6"/>
          <w:kern w:val="0"/>
          <w:sz w:val="32"/>
          <w:szCs w:val="32"/>
          <w:lang w:val="en-US" w:eastAsia="zh-CN"/>
          <w14:textFill>
            <w14:solidFill>
              <w14:schemeClr w14:val="tx1"/>
            </w14:solidFill>
          </w14:textFill>
        </w:rPr>
        <w:t>文书</w:t>
      </w:r>
      <w:r>
        <w:rPr>
          <w:rFonts w:hint="eastAsia" w:ascii="Times New Roman" w:hAnsi="Times New Roman" w:eastAsia="仿宋_GB2312" w:cs="Times New Roman"/>
          <w:snapToGrid w:val="0"/>
          <w:color w:val="000000" w:themeColor="text1"/>
          <w:spacing w:val="6"/>
          <w:kern w:val="0"/>
          <w:sz w:val="32"/>
          <w:szCs w:val="32"/>
          <w:lang w:eastAsia="zh-CN"/>
          <w14:textFill>
            <w14:solidFill>
              <w14:schemeClr w14:val="tx1"/>
            </w14:solidFill>
          </w14:textFill>
        </w:rPr>
        <w:t>（</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复印件</w:t>
      </w:r>
      <w:r>
        <w:rPr>
          <w:rFonts w:hint="eastAsia" w:ascii="Times New Roman" w:hAnsi="Times New Roman" w:eastAsia="仿宋_GB2312" w:cs="Times New Roman"/>
          <w:snapToGrid w:val="0"/>
          <w:color w:val="000000" w:themeColor="text1"/>
          <w:spacing w:val="6"/>
          <w:kern w:val="0"/>
          <w:sz w:val="32"/>
          <w:szCs w:val="32"/>
          <w:lang w:eastAsia="zh-CN"/>
          <w14:textFill>
            <w14:solidFill>
              <w14:schemeClr w14:val="tx1"/>
            </w14:solidFill>
          </w14:textFill>
        </w:rPr>
        <w:t>）；</w:t>
      </w:r>
    </w:p>
    <w:p w14:paraId="50E25E51">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（五）与</w:t>
      </w:r>
      <w:r>
        <w:rPr>
          <w:rFonts w:hint="eastAsia" w:ascii="Times New Roman" w:hAnsi="Times New Roman" w:eastAsia="仿宋_GB2312" w:cs="Times New Roman"/>
          <w:snapToGrid w:val="0"/>
          <w:color w:val="000000" w:themeColor="text1"/>
          <w:spacing w:val="-6"/>
          <w:kern w:val="0"/>
          <w:sz w:val="32"/>
          <w:szCs w:val="32"/>
          <w:lang w:val="en-US" w:eastAsia="zh-CN"/>
          <w14:textFill>
            <w14:solidFill>
              <w14:schemeClr w14:val="tx1"/>
            </w14:solidFill>
          </w14:textFill>
        </w:rPr>
        <w:t>工程隶属单位签订的</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《人民防空工程租赁使用合同》</w:t>
      </w:r>
      <w:r>
        <w:rPr>
          <w:rFonts w:hint="eastAsia" w:ascii="Times New Roman" w:hAnsi="Times New Roman" w:eastAsia="仿宋_GB2312" w:cs="Times New Roman"/>
          <w:snapToGrid w:val="0"/>
          <w:color w:val="000000" w:themeColor="text1"/>
          <w:spacing w:val="-6"/>
          <w:kern w:val="0"/>
          <w:sz w:val="32"/>
          <w:szCs w:val="32"/>
          <w:lang w:eastAsia="zh-CN"/>
          <w14:textFill>
            <w14:solidFill>
              <w14:schemeClr w14:val="tx1"/>
            </w14:solidFill>
          </w14:textFill>
        </w:rPr>
        <w:t>；</w:t>
      </w:r>
    </w:p>
    <w:p w14:paraId="0E6025C5">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（六）与工程隶属单位签订的</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人民防空工程安全</w:t>
      </w:r>
      <w:r>
        <w:rPr>
          <w:rFonts w:hint="default" w:ascii="Times New Roman" w:hAnsi="Times New Roman" w:eastAsia="仿宋_GB2312" w:cs="Times New Roman"/>
          <w:color w:val="000000" w:themeColor="text1"/>
          <w:sz w:val="32"/>
          <w:szCs w:val="32"/>
          <w14:textFill>
            <w14:solidFill>
              <w14:schemeClr w14:val="tx1"/>
            </w14:solidFill>
          </w14:textFill>
        </w:rPr>
        <w:t>责任书》</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14:paraId="386B8AE4">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（七）</w:t>
      </w:r>
      <w:r>
        <w:rPr>
          <w:rFonts w:hint="default" w:ascii="Times New Roman" w:hAnsi="Times New Roman" w:eastAsia="仿宋_GB2312" w:cs="Times New Roman"/>
          <w:color w:val="000000" w:themeColor="text1"/>
          <w:sz w:val="32"/>
          <w:szCs w:val="32"/>
          <w14:textFill>
            <w14:solidFill>
              <w14:schemeClr w14:val="tx1"/>
            </w14:solidFill>
          </w14:textFill>
        </w:rPr>
        <w:t>人防工程使用单位</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资质证明材料</w:t>
      </w:r>
      <w:r>
        <w:rPr>
          <w:rFonts w:hint="default" w:ascii="Times New Roman" w:hAnsi="Times New Roman" w:eastAsia="仿宋_GB2312" w:cs="Times New Roman"/>
          <w:color w:val="000000" w:themeColor="text1"/>
          <w:sz w:val="32"/>
          <w:szCs w:val="32"/>
          <w14:textFill>
            <w14:solidFill>
              <w14:schemeClr w14:val="tx1"/>
            </w14:solidFill>
          </w14:textFill>
        </w:rPr>
        <w:t>和</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法定代表人的身份证件；</w:t>
      </w:r>
    </w:p>
    <w:p w14:paraId="707BF315">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十二、</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各</w:t>
      </w:r>
      <w:r>
        <w:rPr>
          <w:rFonts w:hint="default" w:ascii="Times New Roman" w:hAnsi="Times New Roman" w:eastAsia="仿宋_GB2312" w:cs="Times New Roman"/>
          <w:color w:val="000000" w:themeColor="text1"/>
          <w:sz w:val="32"/>
          <w:szCs w:val="32"/>
          <w14:textFill>
            <w14:solidFill>
              <w14:schemeClr w14:val="tx1"/>
            </w14:solidFill>
          </w14:textFill>
        </w:rPr>
        <w:t>县</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市</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国动办每季度末向市国动办上报</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辖区内</w:t>
      </w:r>
      <w:r>
        <w:rPr>
          <w:rFonts w:hint="default" w:ascii="Times New Roman" w:hAnsi="Times New Roman" w:eastAsia="仿宋_GB2312" w:cs="Times New Roman"/>
          <w:color w:val="000000" w:themeColor="text1"/>
          <w:sz w:val="32"/>
          <w:szCs w:val="32"/>
          <w14:textFill>
            <w14:solidFill>
              <w14:schemeClr w14:val="tx1"/>
            </w14:solidFill>
          </w14:textFill>
        </w:rPr>
        <w:t>人防工程平时开发利用备案登记统计表。</w:t>
      </w:r>
    </w:p>
    <w:p w14:paraId="3298FDED">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十三、本办法由渭南市国防动员办公室负责解释。</w:t>
      </w:r>
    </w:p>
    <w:p w14:paraId="4CFF903D">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十四、本办法自2024年</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7</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14:textFill>
            <w14:solidFill>
              <w14:schemeClr w14:val="tx1"/>
            </w14:solidFill>
          </w14:textFill>
        </w:rPr>
        <w:t>日起施行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有效期5年。</w:t>
      </w:r>
    </w:p>
    <w:p w14:paraId="271C92AB">
      <w:pPr>
        <w:keepNext w:val="0"/>
        <w:keepLines w:val="0"/>
        <w:pageBreakBefore w:val="0"/>
        <w:widowControl w:val="0"/>
        <w:shd w:val="clear"/>
        <w:kinsoku/>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br w:type="page"/>
      </w:r>
    </w:p>
    <w:p w14:paraId="720CE1C0">
      <w:pPr>
        <w:keepNext w:val="0"/>
        <w:keepLines w:val="0"/>
        <w:pageBreakBefore w:val="0"/>
        <w:widowControl w:val="0"/>
        <w:shd w:val="clear"/>
        <w:kinsoku/>
        <w:wordWrap/>
        <w:overflowPunct/>
        <w:topLinePunct w:val="0"/>
        <w:autoSpaceDE/>
        <w:autoSpaceDN/>
        <w:bidi w:val="0"/>
        <w:adjustRightInd/>
        <w:snapToGrid/>
        <w:spacing w:line="578" w:lineRule="exact"/>
        <w:jc w:val="center"/>
        <w:textAlignment w:val="auto"/>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人防工程平时使用和变更使用备案登记表</w:t>
      </w:r>
    </w:p>
    <w:p w14:paraId="5A4157FF">
      <w:pPr>
        <w:keepNext w:val="0"/>
        <w:keepLines w:val="0"/>
        <w:pageBreakBefore w:val="0"/>
        <w:widowControl w:val="0"/>
        <w:shd w:val="clear"/>
        <w:kinsoku/>
        <w:wordWrap/>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XXX</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国动办</w:t>
      </w:r>
      <w:r>
        <w:rPr>
          <w:rFonts w:hint="default" w:ascii="Times New Roman" w:hAnsi="Times New Roman" w:eastAsia="仿宋_GB2312" w:cs="Times New Roman"/>
          <w:color w:val="000000" w:themeColor="text1"/>
          <w:sz w:val="28"/>
          <w:szCs w:val="28"/>
          <w14:textFill>
            <w14:solidFill>
              <w14:schemeClr w14:val="tx1"/>
            </w14:solidFill>
          </w14:textFill>
        </w:rPr>
        <w:t>备字〔</w:t>
      </w: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2024</w:t>
      </w:r>
      <w:r>
        <w:rPr>
          <w:rFonts w:hint="default" w:ascii="Times New Roman" w:hAnsi="Times New Roman" w:eastAsia="仿宋_GB2312" w:cs="Times New Roman"/>
          <w:color w:val="000000" w:themeColor="text1"/>
          <w:sz w:val="28"/>
          <w:szCs w:val="28"/>
          <w14:textFill>
            <w14:solidFill>
              <w14:schemeClr w14:val="tx1"/>
            </w14:solidFill>
          </w14:textFill>
        </w:rPr>
        <w:t>〕X号</w:t>
      </w:r>
    </w:p>
    <w:p w14:paraId="16B27E16">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人防工程备案单位</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w:t>
      </w:r>
      <w:r>
        <w:rPr>
          <w:rFonts w:hint="default" w:ascii="Times New Roman" w:hAnsi="Times New Roman" w:eastAsia="仿宋_GB2312" w:cs="Times New Roman"/>
          <w:color w:val="000000" w:themeColor="text1"/>
          <w:sz w:val="28"/>
          <w:szCs w:val="28"/>
          <w14:textFill>
            <w14:solidFill>
              <w14:schemeClr w14:val="tx1"/>
            </w14:solidFill>
          </w14:textFill>
        </w:rPr>
        <w:t>使用单位</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w:t>
      </w:r>
      <w:r>
        <w:rPr>
          <w:rFonts w:hint="default" w:ascii="Times New Roman" w:hAnsi="Times New Roman" w:eastAsia="仿宋_GB2312" w:cs="Times New Roman"/>
          <w:color w:val="000000" w:themeColor="text1"/>
          <w:sz w:val="28"/>
          <w:szCs w:val="28"/>
          <w14:textFill>
            <w14:solidFill>
              <w14:schemeClr w14:val="tx1"/>
            </w14:solidFill>
          </w14:textFill>
        </w:rPr>
        <w:t>盖章：</w:t>
      </w:r>
    </w:p>
    <w:tbl>
      <w:tblPr>
        <w:tblStyle w:val="9"/>
        <w:tblW w:w="88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2162"/>
        <w:gridCol w:w="2874"/>
        <w:gridCol w:w="1126"/>
        <w:gridCol w:w="2654"/>
      </w:tblGrid>
      <w:tr w14:paraId="3075C7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64" w:hRule="atLeast"/>
          <w:jc w:val="center"/>
        </w:trPr>
        <w:tc>
          <w:tcPr>
            <w:tcW w:w="2162" w:type="dxa"/>
            <w:vAlign w:val="center"/>
          </w:tcPr>
          <w:p w14:paraId="37DE03E7">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人防工程</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隶属</w:t>
            </w:r>
            <w:r>
              <w:rPr>
                <w:rFonts w:hint="default" w:ascii="Times New Roman" w:hAnsi="Times New Roman" w:eastAsia="仿宋_GB2312" w:cs="Times New Roman"/>
                <w:color w:val="000000" w:themeColor="text1"/>
                <w:sz w:val="24"/>
                <w:szCs w:val="24"/>
                <w14:textFill>
                  <w14:solidFill>
                    <w14:schemeClr w14:val="tx1"/>
                  </w14:solidFill>
                </w14:textFill>
              </w:rPr>
              <w:t>单位</w:t>
            </w:r>
          </w:p>
        </w:tc>
        <w:tc>
          <w:tcPr>
            <w:tcW w:w="6654" w:type="dxa"/>
            <w:gridSpan w:val="3"/>
            <w:vAlign w:val="center"/>
          </w:tcPr>
          <w:p w14:paraId="1F20677C">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37AB8C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59" w:hRule="atLeast"/>
          <w:jc w:val="center"/>
        </w:trPr>
        <w:tc>
          <w:tcPr>
            <w:tcW w:w="2162" w:type="dxa"/>
            <w:vAlign w:val="center"/>
          </w:tcPr>
          <w:p w14:paraId="612E0020">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人防工程使用单位</w:t>
            </w:r>
          </w:p>
        </w:tc>
        <w:tc>
          <w:tcPr>
            <w:tcW w:w="6654" w:type="dxa"/>
            <w:gridSpan w:val="3"/>
            <w:vAlign w:val="center"/>
          </w:tcPr>
          <w:p w14:paraId="73A03866">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5DCE4B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70" w:hRule="atLeast"/>
          <w:jc w:val="center"/>
        </w:trPr>
        <w:tc>
          <w:tcPr>
            <w:tcW w:w="2162" w:type="dxa"/>
            <w:vAlign w:val="center"/>
          </w:tcPr>
          <w:p w14:paraId="4C8D199E">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使用用途</w:t>
            </w:r>
          </w:p>
        </w:tc>
        <w:tc>
          <w:tcPr>
            <w:tcW w:w="6654" w:type="dxa"/>
            <w:gridSpan w:val="3"/>
            <w:vAlign w:val="center"/>
          </w:tcPr>
          <w:p w14:paraId="6E5F97D9">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53A68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39" w:hRule="atLeast"/>
          <w:jc w:val="center"/>
        </w:trPr>
        <w:tc>
          <w:tcPr>
            <w:tcW w:w="2162" w:type="dxa"/>
            <w:vAlign w:val="center"/>
          </w:tcPr>
          <w:p w14:paraId="7D818B6A">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人防工程建筑面积</w:t>
            </w:r>
          </w:p>
        </w:tc>
        <w:tc>
          <w:tcPr>
            <w:tcW w:w="2874" w:type="dxa"/>
            <w:vAlign w:val="center"/>
          </w:tcPr>
          <w:p w14:paraId="7F45F2C6">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c>
          <w:tcPr>
            <w:tcW w:w="1126" w:type="dxa"/>
            <w:vAlign w:val="center"/>
          </w:tcPr>
          <w:p w14:paraId="3B3A4BBA">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使用面积</w:t>
            </w:r>
          </w:p>
        </w:tc>
        <w:tc>
          <w:tcPr>
            <w:tcW w:w="2654" w:type="dxa"/>
            <w:vAlign w:val="center"/>
          </w:tcPr>
          <w:p w14:paraId="0152BF3D">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607B67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60" w:hRule="atLeast"/>
          <w:jc w:val="center"/>
        </w:trPr>
        <w:tc>
          <w:tcPr>
            <w:tcW w:w="2162" w:type="dxa"/>
            <w:vAlign w:val="center"/>
          </w:tcPr>
          <w:p w14:paraId="78DA495B">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人防工程地址</w:t>
            </w:r>
          </w:p>
        </w:tc>
        <w:tc>
          <w:tcPr>
            <w:tcW w:w="6654" w:type="dxa"/>
            <w:gridSpan w:val="3"/>
            <w:vAlign w:val="center"/>
          </w:tcPr>
          <w:p w14:paraId="4F182551">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58DA03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59" w:hRule="atLeast"/>
          <w:jc w:val="center"/>
        </w:trPr>
        <w:tc>
          <w:tcPr>
            <w:tcW w:w="2162" w:type="dxa"/>
            <w:vAlign w:val="center"/>
          </w:tcPr>
          <w:p w14:paraId="75C68AC0">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联系人</w:t>
            </w:r>
          </w:p>
        </w:tc>
        <w:tc>
          <w:tcPr>
            <w:tcW w:w="2874" w:type="dxa"/>
            <w:vAlign w:val="center"/>
          </w:tcPr>
          <w:p w14:paraId="08416FBE">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c>
          <w:tcPr>
            <w:tcW w:w="1126" w:type="dxa"/>
            <w:vAlign w:val="center"/>
          </w:tcPr>
          <w:p w14:paraId="08A92369">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联系电话</w:t>
            </w:r>
          </w:p>
        </w:tc>
        <w:tc>
          <w:tcPr>
            <w:tcW w:w="2654" w:type="dxa"/>
            <w:vAlign w:val="center"/>
          </w:tcPr>
          <w:p w14:paraId="4738DB6D">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2EED8E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282" w:hRule="atLeast"/>
          <w:jc w:val="center"/>
        </w:trPr>
        <w:tc>
          <w:tcPr>
            <w:tcW w:w="2162" w:type="dxa"/>
            <w:vAlign w:val="center"/>
          </w:tcPr>
          <w:p w14:paraId="6ECAB79D">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备案单位</w:t>
            </w:r>
          </w:p>
          <w:p w14:paraId="33EB6BEA">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承诺</w:t>
            </w:r>
          </w:p>
        </w:tc>
        <w:tc>
          <w:tcPr>
            <w:tcW w:w="6654" w:type="dxa"/>
            <w:gridSpan w:val="3"/>
            <w:vAlign w:val="center"/>
          </w:tcPr>
          <w:p w14:paraId="21F7FD41">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1.承诺提供的资料均真实、有效。</w:t>
            </w:r>
          </w:p>
          <w:p w14:paraId="3B75DAA8">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2.承诺不在人防工程内从事非法活动，不在人防工程内生产、储存爆炸、剧毒、易燃、放射性和腐蚀性等危险品。</w:t>
            </w:r>
          </w:p>
          <w:p w14:paraId="35D70104">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3.承诺不改变人防工程的主体结构，不得擅自拆除人防工程设备设施或者危害人防工程安全和使用效能。</w:t>
            </w:r>
          </w:p>
          <w:p w14:paraId="667BA63D">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p w14:paraId="305D944A">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p w14:paraId="2B01F7AC">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使用单位负责</w:t>
            </w:r>
            <w:r>
              <w:rPr>
                <w:rFonts w:hint="default" w:ascii="Times New Roman" w:hAnsi="Times New Roman" w:eastAsia="仿宋_GB2312" w:cs="Times New Roman"/>
                <w:color w:val="000000" w:themeColor="text1"/>
                <w:sz w:val="24"/>
                <w:szCs w:val="24"/>
                <w14:textFill>
                  <w14:solidFill>
                    <w14:schemeClr w14:val="tx1"/>
                  </w14:solidFill>
                </w14:textFill>
              </w:rPr>
              <w:t>人签字：</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 xml:space="preserve">         联系电话：</w:t>
            </w:r>
          </w:p>
        </w:tc>
      </w:tr>
      <w:tr w14:paraId="1BFAE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823" w:hRule="atLeast"/>
          <w:jc w:val="center"/>
        </w:trPr>
        <w:tc>
          <w:tcPr>
            <w:tcW w:w="2162" w:type="dxa"/>
            <w:vAlign w:val="center"/>
          </w:tcPr>
          <w:p w14:paraId="79707BC4">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备案意见</w:t>
            </w:r>
          </w:p>
        </w:tc>
        <w:tc>
          <w:tcPr>
            <w:tcW w:w="6654" w:type="dxa"/>
            <w:gridSpan w:val="3"/>
            <w:vAlign w:val="center"/>
          </w:tcPr>
          <w:p w14:paraId="28D1B474">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同意备案。请在使用过程中严格执行国家人民防空办公室</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人民防空工程维护管理办法》和</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渭南市国防动员</w:t>
            </w:r>
            <w:r>
              <w:rPr>
                <w:rFonts w:hint="default" w:ascii="Times New Roman" w:hAnsi="Times New Roman" w:eastAsia="仿宋_GB2312" w:cs="Times New Roman"/>
                <w:color w:val="000000" w:themeColor="text1"/>
                <w:sz w:val="24"/>
                <w:szCs w:val="24"/>
                <w14:textFill>
                  <w14:solidFill>
                    <w14:schemeClr w14:val="tx1"/>
                  </w14:solidFill>
                </w14:textFill>
              </w:rPr>
              <w:t>办公室</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关于人民防空工程平时开发利用备案登记办法的通知》。</w:t>
            </w:r>
          </w:p>
          <w:p w14:paraId="21A1539B">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p w14:paraId="4C009900">
            <w:pPr>
              <w:keepNext w:val="0"/>
              <w:keepLines w:val="0"/>
              <w:pageBreakBefore w:val="0"/>
              <w:widowControl w:val="0"/>
              <w:shd w:val="clear"/>
              <w:kinsoku/>
              <w:wordWrap/>
              <w:overflowPunct/>
              <w:topLinePunct w:val="0"/>
              <w:autoSpaceDE/>
              <w:autoSpaceDN/>
              <w:bidi w:val="0"/>
              <w:adjustRightInd/>
              <w:snapToGrid/>
              <w:spacing w:line="360" w:lineRule="exact"/>
              <w:ind w:firstLine="5040" w:firstLineChars="2100"/>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p w14:paraId="602455E0">
            <w:pPr>
              <w:keepNext w:val="0"/>
              <w:keepLines w:val="0"/>
              <w:pageBreakBefore w:val="0"/>
              <w:widowControl w:val="0"/>
              <w:shd w:val="clear"/>
              <w:kinsoku/>
              <w:wordWrap/>
              <w:overflowPunct/>
              <w:topLinePunct w:val="0"/>
              <w:autoSpaceDE/>
              <w:autoSpaceDN/>
              <w:bidi w:val="0"/>
              <w:adjustRightInd/>
              <w:snapToGrid/>
              <w:spacing w:line="360" w:lineRule="exact"/>
              <w:ind w:firstLine="4800" w:firstLineChars="2000"/>
              <w:jc w:val="both"/>
              <w:textAlignment w:val="auto"/>
              <w:rPr>
                <w:rFonts w:hint="eastAsia" w:ascii="Times New Roman" w:hAnsi="Times New Roman" w:eastAsia="仿宋_GB2312" w:cs="Times New Roman"/>
                <w:color w:val="000000" w:themeColor="text1"/>
                <w:sz w:val="24"/>
                <w:szCs w:val="24"/>
                <w:lang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盖章</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p>
          <w:p w14:paraId="013150B2">
            <w:pPr>
              <w:keepNext w:val="0"/>
              <w:keepLines w:val="0"/>
              <w:pageBreakBefore w:val="0"/>
              <w:widowControl w:val="0"/>
              <w:shd w:val="clear"/>
              <w:kinsoku/>
              <w:wordWrap/>
              <w:overflowPunct/>
              <w:topLinePunct w:val="0"/>
              <w:autoSpaceDE/>
              <w:autoSpaceDN/>
              <w:bidi w:val="0"/>
              <w:adjustRightInd/>
              <w:snapToGrid/>
              <w:spacing w:line="360" w:lineRule="exact"/>
              <w:ind w:firstLine="4800" w:firstLineChars="2000"/>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年  月  日</w:t>
            </w:r>
          </w:p>
        </w:tc>
      </w:tr>
      <w:tr w14:paraId="7871EA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698" w:hRule="atLeast"/>
          <w:jc w:val="center"/>
        </w:trPr>
        <w:tc>
          <w:tcPr>
            <w:tcW w:w="2162" w:type="dxa"/>
            <w:vAlign w:val="center"/>
          </w:tcPr>
          <w:p w14:paraId="2627AA60">
            <w:pPr>
              <w:keepNext w:val="0"/>
              <w:keepLines w:val="0"/>
              <w:pageBreakBefore w:val="0"/>
              <w:widowControl w:val="0"/>
              <w:shd w:val="clear"/>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注意事项</w:t>
            </w:r>
          </w:p>
        </w:tc>
        <w:tc>
          <w:tcPr>
            <w:tcW w:w="6654" w:type="dxa"/>
            <w:gridSpan w:val="3"/>
            <w:vAlign w:val="center"/>
          </w:tcPr>
          <w:p w14:paraId="6713D841">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1.使用单位或个人在使用</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工程</w:t>
            </w:r>
            <w:r>
              <w:rPr>
                <w:rFonts w:hint="default" w:ascii="Times New Roman" w:hAnsi="Times New Roman" w:eastAsia="仿宋_GB2312" w:cs="Times New Roman"/>
                <w:color w:val="000000" w:themeColor="text1"/>
                <w:sz w:val="24"/>
                <w:szCs w:val="24"/>
                <w14:textFill>
                  <w14:solidFill>
                    <w14:schemeClr w14:val="tx1"/>
                  </w14:solidFill>
                </w14:textFill>
              </w:rPr>
              <w:t>过程中，如要改变使用用途或变更使用人，应申请办理变更备案登记手续。</w:t>
            </w:r>
          </w:p>
          <w:p w14:paraId="695C2DEE">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2.使用时，应按照使用用途办理相关的证照。</w:t>
            </w:r>
          </w:p>
          <w:p w14:paraId="3F5CB640">
            <w:pPr>
              <w:keepNext w:val="0"/>
              <w:keepLines w:val="0"/>
              <w:pageBreakBefore w:val="0"/>
              <w:widowControl w:val="0"/>
              <w:shd w:val="clear"/>
              <w:kinsoku/>
              <w:wordWrap/>
              <w:overflowPunct/>
              <w:topLinePunct w:val="0"/>
              <w:autoSpaceDE/>
              <w:autoSpaceDN/>
              <w:bidi w:val="0"/>
              <w:adjustRightInd/>
              <w:snapToGrid/>
              <w:spacing w:line="360"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3.在使用过程中，应自觉接受</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国动</w:t>
            </w:r>
            <w:r>
              <w:rPr>
                <w:rFonts w:hint="default" w:ascii="Times New Roman" w:hAnsi="Times New Roman" w:eastAsia="仿宋_GB2312" w:cs="Times New Roman"/>
                <w:color w:val="000000" w:themeColor="text1"/>
                <w:sz w:val="24"/>
                <w:szCs w:val="24"/>
                <w14:textFill>
                  <w14:solidFill>
                    <w14:schemeClr w14:val="tx1"/>
                  </w14:solidFill>
                </w14:textFill>
              </w:rPr>
              <w:t>部门和相关部门的监督检查。</w:t>
            </w:r>
          </w:p>
        </w:tc>
      </w:tr>
    </w:tbl>
    <w:p w14:paraId="48C33D9D">
      <w:pPr>
        <w:keepNext w:val="0"/>
        <w:keepLines w:val="0"/>
        <w:pageBreakBefore w:val="0"/>
        <w:widowControl w:val="0"/>
        <w:shd w:val="clear"/>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该表一式三份</w:t>
      </w:r>
    </w:p>
    <w:p w14:paraId="5AD59A6E">
      <w:pPr>
        <w:keepNext w:val="0"/>
        <w:keepLines w:val="0"/>
        <w:pageBreakBefore w:val="0"/>
        <w:widowControl w:val="0"/>
        <w:shd w:val="clear"/>
        <w:kinsoku/>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000000" w:themeColor="text1"/>
          <w:sz w:val="28"/>
          <w:szCs w:val="28"/>
          <w14:textFill>
            <w14:solidFill>
              <w14:schemeClr w14:val="tx1"/>
            </w14:solidFill>
          </w14:textFill>
        </w:rPr>
        <w:sectPr>
          <w:footerReference r:id="rId3" w:type="default"/>
          <w:pgSz w:w="11905" w:h="16838"/>
          <w:pgMar w:top="2098" w:right="1531" w:bottom="1984" w:left="1531" w:header="0" w:footer="1531" w:gutter="0"/>
          <w:pgNumType w:fmt="decimal" w:start="1"/>
          <w:cols w:space="0" w:num="1"/>
          <w:rtlGutter w:val="0"/>
          <w:docGrid w:linePitch="0" w:charSpace="0"/>
        </w:sectPr>
      </w:pPr>
    </w:p>
    <w:p w14:paraId="22AFB7C0">
      <w:pPr>
        <w:keepNext w:val="0"/>
        <w:keepLines w:val="0"/>
        <w:pageBreakBefore w:val="0"/>
        <w:widowControl w:val="0"/>
        <w:shd w:val="clear"/>
        <w:kinsoku/>
        <w:wordWrap/>
        <w:overflowPunct/>
        <w:topLinePunct w:val="0"/>
        <w:autoSpaceDE/>
        <w:autoSpaceDN/>
        <w:bidi w:val="0"/>
        <w:adjustRightInd/>
        <w:snapToGrid/>
        <w:spacing w:after="157" w:afterLines="50" w:line="578" w:lineRule="exact"/>
        <w:jc w:val="center"/>
        <w:textAlignment w:val="auto"/>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人防工程基本情况登记表</w:t>
      </w:r>
    </w:p>
    <w:p w14:paraId="61C12827">
      <w:pPr>
        <w:keepNext w:val="0"/>
        <w:keepLines w:val="0"/>
        <w:pageBreakBefore w:val="0"/>
        <w:widowControl w:val="0"/>
        <w:shd w:val="clear"/>
        <w:kinsoku/>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人防工程备案单位</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w:t>
      </w:r>
      <w:r>
        <w:rPr>
          <w:rFonts w:hint="default" w:ascii="Times New Roman" w:hAnsi="Times New Roman" w:eastAsia="仿宋_GB2312" w:cs="Times New Roman"/>
          <w:color w:val="000000" w:themeColor="text1"/>
          <w:sz w:val="28"/>
          <w:szCs w:val="28"/>
          <w14:textFill>
            <w14:solidFill>
              <w14:schemeClr w14:val="tx1"/>
            </w14:solidFill>
          </w14:textFill>
        </w:rPr>
        <w:t>使用单位</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r>
        <w:rPr>
          <w:rFonts w:hint="default" w:ascii="Times New Roman" w:hAnsi="Times New Roman" w:eastAsia="仿宋_GB2312" w:cs="Times New Roman"/>
          <w:color w:val="000000" w:themeColor="text1"/>
          <w:sz w:val="28"/>
          <w:szCs w:val="28"/>
          <w14:textFill>
            <w14:solidFill>
              <w14:schemeClr w14:val="tx1"/>
            </w14:solidFill>
          </w14:textFill>
        </w:rPr>
        <w:t>盖章</w:t>
      </w:r>
      <w:r>
        <w:rPr>
          <w:rFonts w:hint="eastAsia" w:ascii="Times New Roman" w:hAnsi="Times New Roman" w:eastAsia="仿宋_GB2312" w:cs="Times New Roman"/>
          <w:color w:val="000000" w:themeColor="text1"/>
          <w:sz w:val="28"/>
          <w:szCs w:val="28"/>
          <w:lang w:eastAsia="zh-CN"/>
          <w14:textFill>
            <w14:solidFill>
              <w14:schemeClr w14:val="tx1"/>
            </w14:solidFill>
          </w14:textFill>
        </w:rPr>
        <w:t>）</w:t>
      </w:r>
      <w:r>
        <w:rPr>
          <w:rFonts w:hint="default" w:ascii="Times New Roman" w:hAnsi="Times New Roman" w:eastAsia="仿宋_GB2312" w:cs="Times New Roman"/>
          <w:color w:val="000000" w:themeColor="text1"/>
          <w:sz w:val="28"/>
          <w:szCs w:val="28"/>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 xml:space="preserve"> 年   月   日</w:t>
      </w:r>
    </w:p>
    <w:tbl>
      <w:tblPr>
        <w:tblStyle w:val="9"/>
        <w:tblW w:w="88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59"/>
        <w:gridCol w:w="2340"/>
        <w:gridCol w:w="2190"/>
        <w:gridCol w:w="2190"/>
      </w:tblGrid>
      <w:tr w14:paraId="41016F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4DE607F0">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人防工程名称</w:t>
            </w:r>
          </w:p>
        </w:tc>
        <w:tc>
          <w:tcPr>
            <w:tcW w:w="6720" w:type="dxa"/>
            <w:gridSpan w:val="3"/>
            <w:vAlign w:val="center"/>
          </w:tcPr>
          <w:p w14:paraId="450A10B2">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308184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046F0AF3">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人防工程地点</w:t>
            </w:r>
          </w:p>
        </w:tc>
        <w:tc>
          <w:tcPr>
            <w:tcW w:w="6720" w:type="dxa"/>
            <w:gridSpan w:val="3"/>
            <w:vAlign w:val="center"/>
          </w:tcPr>
          <w:p w14:paraId="0389C2A5">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0E0FDD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2F4A0C47">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人防工程类型</w:t>
            </w:r>
          </w:p>
        </w:tc>
        <w:tc>
          <w:tcPr>
            <w:tcW w:w="2340" w:type="dxa"/>
            <w:vAlign w:val="center"/>
          </w:tcPr>
          <w:p w14:paraId="5B99CAE7">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c>
          <w:tcPr>
            <w:tcW w:w="2190" w:type="dxa"/>
            <w:vAlign w:val="center"/>
          </w:tcPr>
          <w:p w14:paraId="6571BF75">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人防工程</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隶</w:t>
            </w:r>
            <w:r>
              <w:rPr>
                <w:rFonts w:hint="default" w:ascii="Times New Roman" w:hAnsi="Times New Roman" w:eastAsia="仿宋_GB2312" w:cs="Times New Roman"/>
                <w:color w:val="000000" w:themeColor="text1"/>
                <w:sz w:val="24"/>
                <w:szCs w:val="24"/>
                <w14:textFill>
                  <w14:solidFill>
                    <w14:schemeClr w14:val="tx1"/>
                  </w14:solidFill>
                </w14:textFill>
              </w:rPr>
              <w:t>属</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地</w:t>
            </w:r>
          </w:p>
        </w:tc>
        <w:tc>
          <w:tcPr>
            <w:tcW w:w="2190" w:type="dxa"/>
            <w:vAlign w:val="center"/>
          </w:tcPr>
          <w:p w14:paraId="3E361C54">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634D4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05A7A5A3">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eastAsia"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建筑面积</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p>
        </w:tc>
        <w:tc>
          <w:tcPr>
            <w:tcW w:w="2340" w:type="dxa"/>
            <w:vAlign w:val="center"/>
          </w:tcPr>
          <w:p w14:paraId="23609D14">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c>
          <w:tcPr>
            <w:tcW w:w="2190" w:type="dxa"/>
            <w:vAlign w:val="center"/>
          </w:tcPr>
          <w:p w14:paraId="41EB0157">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eastAsia" w:ascii="Times New Roman" w:hAnsi="Times New Roman" w:eastAsia="仿宋_GB2312" w:cs="Times New Roman"/>
                <w:color w:val="000000" w:themeColor="text1"/>
                <w:sz w:val="24"/>
                <w:szCs w:val="24"/>
                <w:lang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有效使用</w:t>
            </w:r>
            <w:r>
              <w:rPr>
                <w:rFonts w:hint="default" w:ascii="Times New Roman" w:hAnsi="Times New Roman" w:eastAsia="仿宋_GB2312" w:cs="Times New Roman"/>
                <w:color w:val="000000" w:themeColor="text1"/>
                <w:sz w:val="24"/>
                <w:szCs w:val="24"/>
                <w14:textFill>
                  <w14:solidFill>
                    <w14:schemeClr w14:val="tx1"/>
                  </w14:solidFill>
                </w14:textFill>
              </w:rPr>
              <w:t>面积</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p>
        </w:tc>
        <w:tc>
          <w:tcPr>
            <w:tcW w:w="2190" w:type="dxa"/>
            <w:vAlign w:val="center"/>
          </w:tcPr>
          <w:p w14:paraId="75C1F7A5">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555F08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0DFA8ED4">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地面建筑名称</w:t>
            </w:r>
          </w:p>
        </w:tc>
        <w:tc>
          <w:tcPr>
            <w:tcW w:w="2340" w:type="dxa"/>
            <w:vAlign w:val="center"/>
          </w:tcPr>
          <w:p w14:paraId="4AC8D5E9">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c>
          <w:tcPr>
            <w:tcW w:w="2190" w:type="dxa"/>
            <w:vAlign w:val="center"/>
          </w:tcPr>
          <w:p w14:paraId="51427D3E">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人防工程</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经纬度</w:t>
            </w:r>
          </w:p>
        </w:tc>
        <w:tc>
          <w:tcPr>
            <w:tcW w:w="2190" w:type="dxa"/>
            <w:vAlign w:val="center"/>
          </w:tcPr>
          <w:p w14:paraId="366C22CC">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58313C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05E5EA30">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地面建筑层数</w:t>
            </w:r>
          </w:p>
        </w:tc>
        <w:tc>
          <w:tcPr>
            <w:tcW w:w="2340" w:type="dxa"/>
            <w:vAlign w:val="center"/>
          </w:tcPr>
          <w:p w14:paraId="7F126FC8">
            <w:pPr>
              <w:keepNext w:val="0"/>
              <w:keepLines w:val="0"/>
              <w:pageBreakBefore w:val="0"/>
              <w:widowControl w:val="0"/>
              <w:shd w:val="clear"/>
              <w:kinsoku/>
              <w:wordWrap w:val="0"/>
              <w:overflowPunct/>
              <w:topLinePunct w:val="0"/>
              <w:autoSpaceDE/>
              <w:autoSpaceDN/>
              <w:bidi w:val="0"/>
              <w:adjustRightInd/>
              <w:snapToGrid/>
              <w:spacing w:line="578" w:lineRule="exact"/>
              <w:jc w:val="right"/>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p>
        </w:tc>
        <w:tc>
          <w:tcPr>
            <w:tcW w:w="2190" w:type="dxa"/>
            <w:vAlign w:val="center"/>
          </w:tcPr>
          <w:p w14:paraId="3ABFED5A">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平时使用功能</w:t>
            </w:r>
          </w:p>
        </w:tc>
        <w:tc>
          <w:tcPr>
            <w:tcW w:w="2190" w:type="dxa"/>
            <w:vAlign w:val="center"/>
          </w:tcPr>
          <w:p w14:paraId="494938EB">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16C46E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2CE64D7C">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lang w:val="en-US"/>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竣工验收日期、文号</w:t>
            </w:r>
          </w:p>
        </w:tc>
        <w:tc>
          <w:tcPr>
            <w:tcW w:w="2340" w:type="dxa"/>
            <w:vAlign w:val="center"/>
          </w:tcPr>
          <w:p w14:paraId="6DB72BA4">
            <w:pPr>
              <w:keepNext w:val="0"/>
              <w:keepLines w:val="0"/>
              <w:pageBreakBefore w:val="0"/>
              <w:widowControl w:val="0"/>
              <w:shd w:val="clear"/>
              <w:kinsoku/>
              <w:overflowPunct/>
              <w:topLinePunct w:val="0"/>
              <w:autoSpaceDE/>
              <w:autoSpaceDN/>
              <w:bidi w:val="0"/>
              <w:adjustRightInd/>
              <w:snapToGrid/>
              <w:spacing w:line="578" w:lineRule="exact"/>
              <w:ind w:firstLine="1680" w:firstLineChars="700"/>
              <w:jc w:val="left"/>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c>
          <w:tcPr>
            <w:tcW w:w="2190" w:type="dxa"/>
            <w:vAlign w:val="center"/>
          </w:tcPr>
          <w:p w14:paraId="45DB4996">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防护单元数量</w:t>
            </w:r>
          </w:p>
        </w:tc>
        <w:tc>
          <w:tcPr>
            <w:tcW w:w="2190" w:type="dxa"/>
            <w:vAlign w:val="center"/>
          </w:tcPr>
          <w:p w14:paraId="27AB9485">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个</w:t>
            </w:r>
          </w:p>
        </w:tc>
      </w:tr>
      <w:tr w14:paraId="3A764D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exact"/>
        </w:trPr>
        <w:tc>
          <w:tcPr>
            <w:tcW w:w="2159" w:type="dxa"/>
            <w:vMerge w:val="restart"/>
            <w:tcBorders>
              <w:bottom w:val="nil"/>
            </w:tcBorders>
            <w:vAlign w:val="center"/>
          </w:tcPr>
          <w:p w14:paraId="37FCB808">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eastAsia"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主体工程幅员</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米</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p>
        </w:tc>
        <w:tc>
          <w:tcPr>
            <w:tcW w:w="2340" w:type="dxa"/>
            <w:vAlign w:val="center"/>
          </w:tcPr>
          <w:p w14:paraId="78A47673">
            <w:pPr>
              <w:keepNext w:val="0"/>
              <w:keepLines w:val="0"/>
              <w:pageBreakBefore w:val="0"/>
              <w:widowControl w:val="0"/>
              <w:shd w:val="clear"/>
              <w:kinsoku/>
              <w:overflowPunct/>
              <w:topLinePunct w:val="0"/>
              <w:autoSpaceDE/>
              <w:autoSpaceDN/>
              <w:bidi w:val="0"/>
              <w:adjustRightInd/>
              <w:snapToGrid/>
              <w:spacing w:line="578" w:lineRule="exact"/>
              <w:jc w:val="left"/>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 xml:space="preserve">长：     </w:t>
            </w:r>
            <w:r>
              <w:rPr>
                <w:rFonts w:hint="default" w:ascii="Times New Roman" w:hAnsi="Times New Roman" w:eastAsia="仿宋_GB2312" w:cs="Times New Roman"/>
                <w:color w:val="000000" w:themeColor="text1"/>
                <w:sz w:val="24"/>
                <w:szCs w:val="24"/>
                <w14:textFill>
                  <w14:solidFill>
                    <w14:schemeClr w14:val="tx1"/>
                  </w14:solidFill>
                </w14:textFill>
              </w:rPr>
              <w:t>宽：</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p>
        </w:tc>
        <w:tc>
          <w:tcPr>
            <w:tcW w:w="2190" w:type="dxa"/>
            <w:vAlign w:val="center"/>
          </w:tcPr>
          <w:p w14:paraId="3C155BEA">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出入口数量</w:t>
            </w:r>
          </w:p>
        </w:tc>
        <w:tc>
          <w:tcPr>
            <w:tcW w:w="2190" w:type="dxa"/>
            <w:vAlign w:val="center"/>
          </w:tcPr>
          <w:p w14:paraId="0D34CB39">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 xml:space="preserve">            个</w:t>
            </w:r>
          </w:p>
        </w:tc>
      </w:tr>
      <w:tr w14:paraId="16130A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Merge w:val="continue"/>
            <w:tcBorders>
              <w:top w:val="nil"/>
            </w:tcBorders>
            <w:vAlign w:val="center"/>
          </w:tcPr>
          <w:p w14:paraId="712C73E6">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c>
          <w:tcPr>
            <w:tcW w:w="2340" w:type="dxa"/>
            <w:vAlign w:val="center"/>
          </w:tcPr>
          <w:p w14:paraId="17F64D26">
            <w:pPr>
              <w:keepNext w:val="0"/>
              <w:keepLines w:val="0"/>
              <w:pageBreakBefore w:val="0"/>
              <w:widowControl w:val="0"/>
              <w:shd w:val="clear"/>
              <w:kinsoku/>
              <w:overflowPunct/>
              <w:topLinePunct w:val="0"/>
              <w:autoSpaceDE/>
              <w:autoSpaceDN/>
              <w:bidi w:val="0"/>
              <w:adjustRightInd/>
              <w:snapToGrid/>
              <w:spacing w:line="578" w:lineRule="exact"/>
              <w:jc w:val="both"/>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高：</w:t>
            </w:r>
          </w:p>
        </w:tc>
        <w:tc>
          <w:tcPr>
            <w:tcW w:w="2190" w:type="dxa"/>
            <w:vAlign w:val="center"/>
          </w:tcPr>
          <w:p w14:paraId="4413FD30">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进风机</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台</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p>
        </w:tc>
        <w:tc>
          <w:tcPr>
            <w:tcW w:w="2190" w:type="dxa"/>
            <w:vAlign w:val="center"/>
          </w:tcPr>
          <w:p w14:paraId="256BE24A">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14:textFill>
                  <w14:solidFill>
                    <w14:schemeClr w14:val="tx1"/>
                  </w14:solidFill>
                </w14:textFill>
              </w:rPr>
              <w:t>台</w:t>
            </w:r>
          </w:p>
        </w:tc>
      </w:tr>
      <w:tr w14:paraId="298CE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0872C478">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排风</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烟</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机</w:t>
            </w:r>
          </w:p>
        </w:tc>
        <w:tc>
          <w:tcPr>
            <w:tcW w:w="2340" w:type="dxa"/>
            <w:vAlign w:val="center"/>
          </w:tcPr>
          <w:p w14:paraId="049BEE28">
            <w:pPr>
              <w:keepNext w:val="0"/>
              <w:keepLines w:val="0"/>
              <w:pageBreakBefore w:val="0"/>
              <w:widowControl w:val="0"/>
              <w:shd w:val="clear"/>
              <w:kinsoku/>
              <w:wordWrap w:val="0"/>
              <w:overflowPunct/>
              <w:topLinePunct w:val="0"/>
              <w:autoSpaceDE/>
              <w:autoSpaceDN/>
              <w:bidi w:val="0"/>
              <w:adjustRightInd/>
              <w:snapToGrid/>
              <w:spacing w:line="578" w:lineRule="exact"/>
              <w:jc w:val="right"/>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台</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p>
        </w:tc>
        <w:tc>
          <w:tcPr>
            <w:tcW w:w="2190" w:type="dxa"/>
            <w:vAlign w:val="center"/>
          </w:tcPr>
          <w:p w14:paraId="1C06FAD5">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eastAsia"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水泵</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14:textFill>
                  <w14:solidFill>
                    <w14:schemeClr w14:val="tx1"/>
                  </w14:solidFill>
                </w14:textFill>
              </w:rPr>
              <w:t>台</w:t>
            </w:r>
            <w:r>
              <w:rPr>
                <w:rFonts w:hint="eastAsia" w:ascii="Times New Roman" w:hAnsi="Times New Roman" w:eastAsia="仿宋_GB2312" w:cs="Times New Roman"/>
                <w:color w:val="000000" w:themeColor="text1"/>
                <w:sz w:val="24"/>
                <w:szCs w:val="24"/>
                <w:lang w:eastAsia="zh-CN"/>
                <w14:textFill>
                  <w14:solidFill>
                    <w14:schemeClr w14:val="tx1"/>
                  </w14:solidFill>
                </w14:textFill>
              </w:rPr>
              <w:t>）</w:t>
            </w:r>
          </w:p>
        </w:tc>
        <w:tc>
          <w:tcPr>
            <w:tcW w:w="2190" w:type="dxa"/>
            <w:vAlign w:val="center"/>
          </w:tcPr>
          <w:p w14:paraId="2DC4E700">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601B85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09AE36BB">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过滤吸收器</w:t>
            </w:r>
          </w:p>
        </w:tc>
        <w:tc>
          <w:tcPr>
            <w:tcW w:w="2340" w:type="dxa"/>
            <w:vAlign w:val="center"/>
          </w:tcPr>
          <w:p w14:paraId="0DB229F8">
            <w:pPr>
              <w:keepNext w:val="0"/>
              <w:keepLines w:val="0"/>
              <w:pageBreakBefore w:val="0"/>
              <w:widowControl w:val="0"/>
              <w:shd w:val="clear"/>
              <w:kinsoku/>
              <w:wordWrap w:val="0"/>
              <w:overflowPunct/>
              <w:topLinePunct w:val="0"/>
              <w:autoSpaceDE/>
              <w:autoSpaceDN/>
              <w:bidi w:val="0"/>
              <w:adjustRightInd/>
              <w:snapToGrid/>
              <w:spacing w:line="578" w:lineRule="exact"/>
              <w:jc w:val="right"/>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台</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p>
        </w:tc>
        <w:tc>
          <w:tcPr>
            <w:tcW w:w="2190" w:type="dxa"/>
            <w:vAlign w:val="center"/>
          </w:tcPr>
          <w:p w14:paraId="572882B1">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人防设备厂名称</w:t>
            </w:r>
          </w:p>
        </w:tc>
        <w:tc>
          <w:tcPr>
            <w:tcW w:w="2190" w:type="dxa"/>
            <w:vAlign w:val="center"/>
          </w:tcPr>
          <w:p w14:paraId="17FDA12F">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7D9763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131484E4">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人防检测机构名称</w:t>
            </w:r>
          </w:p>
        </w:tc>
        <w:tc>
          <w:tcPr>
            <w:tcW w:w="2340" w:type="dxa"/>
            <w:vAlign w:val="center"/>
          </w:tcPr>
          <w:p w14:paraId="7A90D920">
            <w:pPr>
              <w:keepNext w:val="0"/>
              <w:keepLines w:val="0"/>
              <w:pageBreakBefore w:val="0"/>
              <w:widowControl w:val="0"/>
              <w:shd w:val="clear"/>
              <w:kinsoku/>
              <w:wordWrap w:val="0"/>
              <w:overflowPunct/>
              <w:topLinePunct w:val="0"/>
              <w:autoSpaceDE/>
              <w:autoSpaceDN/>
              <w:bidi w:val="0"/>
              <w:adjustRightInd/>
              <w:snapToGrid/>
              <w:spacing w:line="578" w:lineRule="exact"/>
              <w:jc w:val="right"/>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 xml:space="preserve"> </w:t>
            </w:r>
          </w:p>
        </w:tc>
        <w:tc>
          <w:tcPr>
            <w:tcW w:w="2190" w:type="dxa"/>
            <w:vAlign w:val="center"/>
          </w:tcPr>
          <w:p w14:paraId="79142D1D">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通风设备企业名称</w:t>
            </w:r>
          </w:p>
        </w:tc>
        <w:tc>
          <w:tcPr>
            <w:tcW w:w="2190" w:type="dxa"/>
            <w:vAlign w:val="center"/>
          </w:tcPr>
          <w:p w14:paraId="01A495B9">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56EE6C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2159" w:type="dxa"/>
            <w:vAlign w:val="center"/>
          </w:tcPr>
          <w:p w14:paraId="4BE74A5C">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工程</w:t>
            </w:r>
            <w:r>
              <w:rPr>
                <w:rFonts w:hint="default" w:ascii="Times New Roman" w:hAnsi="Times New Roman" w:eastAsia="仿宋_GB2312" w:cs="Times New Roman"/>
                <w:color w:val="000000" w:themeColor="text1"/>
                <w:sz w:val="24"/>
                <w:szCs w:val="24"/>
                <w14:textFill>
                  <w14:solidFill>
                    <w14:schemeClr w14:val="tx1"/>
                  </w14:solidFill>
                </w14:textFill>
              </w:rPr>
              <w:t>渗漏水程度</w:t>
            </w:r>
          </w:p>
        </w:tc>
        <w:tc>
          <w:tcPr>
            <w:tcW w:w="2340" w:type="dxa"/>
            <w:vAlign w:val="center"/>
          </w:tcPr>
          <w:p w14:paraId="692CCFA4">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c>
          <w:tcPr>
            <w:tcW w:w="2190" w:type="dxa"/>
            <w:vAlign w:val="center"/>
          </w:tcPr>
          <w:p w14:paraId="67211A74">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工程</w:t>
            </w:r>
            <w:r>
              <w:rPr>
                <w:rFonts w:hint="default" w:ascii="Times New Roman" w:hAnsi="Times New Roman" w:eastAsia="仿宋_GB2312" w:cs="Times New Roman"/>
                <w:color w:val="000000" w:themeColor="text1"/>
                <w:sz w:val="24"/>
                <w:szCs w:val="24"/>
                <w14:textFill>
                  <w14:solidFill>
                    <w14:schemeClr w14:val="tx1"/>
                  </w14:solidFill>
                </w14:textFill>
              </w:rPr>
              <w:t>维护管理情况</w:t>
            </w:r>
          </w:p>
        </w:tc>
        <w:tc>
          <w:tcPr>
            <w:tcW w:w="2190" w:type="dxa"/>
            <w:vAlign w:val="center"/>
          </w:tcPr>
          <w:p w14:paraId="0C10363A">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659A0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trPr>
        <w:tc>
          <w:tcPr>
            <w:tcW w:w="2159" w:type="dxa"/>
            <w:tcBorders>
              <w:left w:val="single" w:color="auto" w:sz="4" w:space="0"/>
              <w:bottom w:val="single" w:color="auto" w:sz="4" w:space="0"/>
            </w:tcBorders>
            <w:vAlign w:val="center"/>
          </w:tcPr>
          <w:p w14:paraId="29829D49">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通风竖井个数</w:t>
            </w:r>
          </w:p>
        </w:tc>
        <w:tc>
          <w:tcPr>
            <w:tcW w:w="6720" w:type="dxa"/>
            <w:gridSpan w:val="3"/>
            <w:vMerge w:val="restart"/>
            <w:vAlign w:val="center"/>
          </w:tcPr>
          <w:tbl>
            <w:tblPr>
              <w:tblStyle w:val="7"/>
              <w:tblpPr w:leftFromText="180" w:rightFromText="180" w:vertAnchor="text" w:horzAnchor="page" w:tblpX="1584" w:tblpY="-1024"/>
              <w:tblOverlap w:val="never"/>
              <w:tblW w:w="7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6"/>
              <w:gridCol w:w="2193"/>
              <w:gridCol w:w="2850"/>
            </w:tblGrid>
            <w:tr w14:paraId="2341B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336" w:type="dxa"/>
                  <w:vAlign w:val="center"/>
                </w:tcPr>
                <w:p w14:paraId="5C880CEC">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2193" w:type="dxa"/>
                  <w:vAlign w:val="center"/>
                </w:tcPr>
                <w:p w14:paraId="6AD8F77C">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临战封堵个数</w:t>
                  </w:r>
                </w:p>
              </w:tc>
              <w:tc>
                <w:tcPr>
                  <w:tcW w:w="2850" w:type="dxa"/>
                  <w:vAlign w:val="center"/>
                </w:tcPr>
                <w:p w14:paraId="6391C9CA">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r>
          </w:tbl>
          <w:p w14:paraId="4EEBE12F">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r w14:paraId="48DEF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8" w:hRule="atLeast"/>
        </w:trPr>
        <w:tc>
          <w:tcPr>
            <w:tcW w:w="2159" w:type="dxa"/>
            <w:tcBorders>
              <w:top w:val="single" w:color="auto" w:sz="4" w:space="0"/>
              <w:left w:val="single" w:color="auto" w:sz="4" w:space="0"/>
            </w:tcBorders>
            <w:vAlign w:val="center"/>
          </w:tcPr>
          <w:p w14:paraId="67B19C31">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sz w:val="24"/>
                <w:szCs w:val="24"/>
                <w14:textFill>
                  <w14:solidFill>
                    <w14:schemeClr w14:val="tx1"/>
                  </w14:solidFill>
                </w14:textFill>
              </w:rPr>
              <w:t>备  注</w:t>
            </w:r>
          </w:p>
        </w:tc>
        <w:tc>
          <w:tcPr>
            <w:tcW w:w="6720" w:type="dxa"/>
            <w:gridSpan w:val="3"/>
            <w:vMerge w:val="continue"/>
            <w:vAlign w:val="center"/>
          </w:tcPr>
          <w:p w14:paraId="012AB361">
            <w:pPr>
              <w:keepNext w:val="0"/>
              <w:keepLines w:val="0"/>
              <w:pageBreakBefore w:val="0"/>
              <w:widowControl w:val="0"/>
              <w:shd w:val="clear"/>
              <w:kinsoku/>
              <w:overflowPunct/>
              <w:topLinePunct w:val="0"/>
              <w:autoSpaceDE/>
              <w:autoSpaceDN/>
              <w:bidi w:val="0"/>
              <w:adjustRightInd/>
              <w:snapToGrid/>
              <w:spacing w:line="578" w:lineRule="exact"/>
              <w:jc w:val="center"/>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tc>
      </w:tr>
    </w:tbl>
    <w:p w14:paraId="29293F75">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0" w:firstLineChars="0"/>
        <w:jc w:val="center"/>
        <w:textAlignment w:val="auto"/>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人民防空工程租赁使用合同</w:t>
      </w:r>
    </w:p>
    <w:p w14:paraId="02E92D7E">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0" w:firstLineChars="0"/>
        <w:jc w:val="center"/>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参考范本</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p>
    <w:p w14:paraId="65A8D7A3">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14:paraId="13A09C35">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出租人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隶属</w:t>
      </w:r>
      <w:r>
        <w:rPr>
          <w:rFonts w:hint="default" w:ascii="Times New Roman" w:hAnsi="Times New Roman" w:eastAsia="仿宋_GB2312" w:cs="Times New Roman"/>
          <w:color w:val="000000" w:themeColor="text1"/>
          <w:sz w:val="32"/>
          <w:szCs w:val="32"/>
          <w14:textFill>
            <w14:solidFill>
              <w14:schemeClr w14:val="tx1"/>
            </w14:solidFill>
          </w14:textFill>
        </w:rPr>
        <w:t>单位</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p>
    <w:p w14:paraId="03C71BDD">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承租人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使用单位</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p>
    <w:p w14:paraId="053E6359">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出租人向承租人出租人民防空工程，经双方协商，签订本同。</w:t>
      </w:r>
    </w:p>
    <w:p w14:paraId="46AA1E12">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第一条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人民防空工程状况</w:t>
      </w:r>
    </w:p>
    <w:p w14:paraId="19E78F61">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人民防空工程坐落</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市</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县</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镇</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p>
    <w:p w14:paraId="6D71EF88">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工程名称：</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建筑面积：</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p>
    <w:p w14:paraId="0B583D5B">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邮政编码：</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使用面积：</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p>
    <w:p w14:paraId="7EDCE2DE">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工程质量状况：</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p>
    <w:p w14:paraId="4127D670">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租赁用途：</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p>
    <w:p w14:paraId="1CF36FC4">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第二条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租赁期限</w:t>
      </w:r>
    </w:p>
    <w:p w14:paraId="21817B29">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从</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日起至</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日止。合同生效后</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天内出租人将工程交付承租人。</w:t>
      </w:r>
    </w:p>
    <w:p w14:paraId="462EF69D">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第三条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人民防空工程使用费和使用费缴纳时间、方式</w:t>
      </w:r>
    </w:p>
    <w:p w14:paraId="5DD08F73">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人民防空工程使用费每平方米</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或每个柜台、店铺等，可根据实际情况填写</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每月</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元，共计</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元；</w:t>
      </w:r>
    </w:p>
    <w:p w14:paraId="3FADEE2D">
      <w:pPr>
        <w:keepNext w:val="0"/>
        <w:keepLines w:val="0"/>
        <w:pageBreakBefore w:val="0"/>
        <w:widowControl w:val="0"/>
        <w:shd w:val="clear"/>
        <w:kinsoku/>
        <w:wordWrap/>
        <w:overflowPunct w:val="0"/>
        <w:topLinePunct w:val="0"/>
        <w:autoSpaceDE/>
        <w:autoSpaceDN/>
        <w:bidi w:val="0"/>
        <w:adjustRightInd/>
        <w:snapToGrid/>
        <w:spacing w:line="578" w:lineRule="exact"/>
        <w:ind w:firstLine="616" w:firstLineChars="200"/>
        <w:jc w:val="both"/>
        <w:textAlignment w:val="auto"/>
        <w:rPr>
          <w:rFonts w:hint="eastAsia" w:ascii="Times New Roman" w:hAnsi="Times New Roman" w:eastAsia="仿宋_GB2312" w:cs="Times New Roman"/>
          <w:snapToGrid w:val="0"/>
          <w:color w:val="000000" w:themeColor="text1"/>
          <w:spacing w:val="-6"/>
          <w:kern w:val="0"/>
          <w:sz w:val="32"/>
          <w:szCs w:val="32"/>
          <w:u w:val="single"/>
          <w:lang w:eastAsia="zh-CN"/>
          <w14:textFill>
            <w14:solidFill>
              <w14:schemeClr w14:val="tx1"/>
            </w14:solidFill>
          </w14:textFill>
        </w:rPr>
      </w:pPr>
      <w:r>
        <w:rPr>
          <w:rFonts w:hint="eastAsia" w:ascii="Times New Roman" w:hAnsi="Times New Roman" w:eastAsia="仿宋_GB2312" w:cs="Times New Roman"/>
          <w:snapToGrid w:val="0"/>
          <w:color w:val="000000" w:themeColor="text1"/>
          <w:spacing w:val="-6"/>
          <w:kern w:val="0"/>
          <w:sz w:val="32"/>
          <w:szCs w:val="32"/>
          <w:lang w:eastAsia="zh-CN"/>
          <w14:textFill>
            <w14:solidFill>
              <w14:schemeClr w14:val="tx1"/>
            </w14:solidFill>
          </w14:textFill>
        </w:rPr>
        <w:t>（</w:t>
      </w:r>
      <w:r>
        <w:rPr>
          <w:rFonts w:hint="eastAsia" w:ascii="Times New Roman" w:hAnsi="Times New Roman" w:eastAsia="仿宋_GB2312" w:cs="Times New Roman"/>
          <w:snapToGrid w:val="0"/>
          <w:color w:val="000000" w:themeColor="text1"/>
          <w:spacing w:val="-6"/>
          <w:kern w:val="0"/>
          <w:sz w:val="32"/>
          <w:szCs w:val="32"/>
          <w:lang w:val="en-US" w:eastAsia="zh-CN"/>
          <w14:textFill>
            <w14:solidFill>
              <w14:schemeClr w14:val="tx1"/>
            </w14:solidFill>
          </w14:textFill>
        </w:rPr>
        <w:t>二</w:t>
      </w:r>
      <w:r>
        <w:rPr>
          <w:rFonts w:hint="eastAsia" w:ascii="Times New Roman" w:hAnsi="Times New Roman" w:eastAsia="仿宋_GB2312" w:cs="Times New Roman"/>
          <w:snapToGrid w:val="0"/>
          <w:color w:val="000000" w:themeColor="text1"/>
          <w:spacing w:val="-6"/>
          <w:kern w:val="0"/>
          <w:sz w:val="32"/>
          <w:szCs w:val="32"/>
          <w:lang w:eastAsia="zh-CN"/>
          <w14:textFill>
            <w14:solidFill>
              <w14:schemeClr w14:val="tx1"/>
            </w14:solidFill>
          </w14:textFill>
        </w:rPr>
        <w:t>）</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使用费缴纳时间与方式：</w:t>
      </w:r>
      <w:r>
        <w:rPr>
          <w:rFonts w:hint="default" w:ascii="Times New Roman" w:hAnsi="Times New Roman" w:eastAsia="仿宋_GB2312" w:cs="Times New Roman"/>
          <w:snapToGrid w:val="0"/>
          <w:color w:val="000000" w:themeColor="text1"/>
          <w:spacing w:val="-6"/>
          <w:kern w:val="0"/>
          <w:sz w:val="32"/>
          <w:szCs w:val="32"/>
          <w:u w:val="single"/>
          <w14:textFill>
            <w14:solidFill>
              <w14:schemeClr w14:val="tx1"/>
            </w14:solidFill>
          </w14:textFill>
        </w:rPr>
        <w:t xml:space="preserve">                  </w:t>
      </w:r>
      <w:r>
        <w:rPr>
          <w:rFonts w:hint="default" w:ascii="Times New Roman" w:hAnsi="Times New Roman" w:eastAsia="仿宋_GB2312" w:cs="Times New Roman"/>
          <w:snapToGrid w:val="0"/>
          <w:color w:val="000000" w:themeColor="text1"/>
          <w:spacing w:val="-6"/>
          <w:kern w:val="0"/>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snapToGrid w:val="0"/>
          <w:color w:val="000000" w:themeColor="text1"/>
          <w:spacing w:val="-6"/>
          <w:kern w:val="0"/>
          <w:sz w:val="32"/>
          <w:szCs w:val="32"/>
          <w:u w:val="single"/>
          <w14:textFill>
            <w14:solidFill>
              <w14:schemeClr w14:val="tx1"/>
            </w14:solidFill>
          </w14:textFill>
        </w:rPr>
        <w:t xml:space="preserve">   </w:t>
      </w:r>
      <w:r>
        <w:rPr>
          <w:rFonts w:hint="eastAsia" w:ascii="Times New Roman" w:hAnsi="Times New Roman" w:eastAsia="仿宋_GB2312" w:cs="Times New Roman"/>
          <w:snapToGrid w:val="0"/>
          <w:color w:val="000000" w:themeColor="text1"/>
          <w:spacing w:val="-6"/>
          <w:kern w:val="0"/>
          <w:sz w:val="32"/>
          <w:szCs w:val="32"/>
          <w:u w:val="none"/>
          <w:lang w:eastAsia="zh-CN"/>
          <w14:textFill>
            <w14:solidFill>
              <w14:schemeClr w14:val="tx1"/>
            </w14:solidFill>
          </w14:textFill>
        </w:rPr>
        <w:t>。</w:t>
      </w:r>
    </w:p>
    <w:p w14:paraId="1B855B63">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第四条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租赁期间工程维修</w:t>
      </w:r>
    </w:p>
    <w:p w14:paraId="51574E44">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16"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pacing w:val="-6"/>
          <w:sz w:val="32"/>
          <w:szCs w:val="32"/>
          <w14:textFill>
            <w14:solidFill>
              <w14:schemeClr w14:val="tx1"/>
            </w14:solidFill>
          </w14:textFill>
        </w:rPr>
        <w:t>租赁期间工程维修由出租人负责。出租人的维修范围包括：工</w:t>
      </w:r>
      <w:r>
        <w:rPr>
          <w:rFonts w:hint="default" w:ascii="Times New Roman" w:hAnsi="Times New Roman" w:eastAsia="仿宋_GB2312" w:cs="Times New Roman"/>
          <w:color w:val="000000" w:themeColor="text1"/>
          <w:sz w:val="32"/>
          <w:szCs w:val="32"/>
          <w14:textFill>
            <w14:solidFill>
              <w14:schemeClr w14:val="tx1"/>
            </w14:solidFill>
          </w14:textFill>
        </w:rPr>
        <w:t>程主体结构防护和主要风、水、电设备设施，保障承租人正常使用。出租人维修工程时，承租人应予以协助。</w:t>
      </w:r>
    </w:p>
    <w:p w14:paraId="669F9B25">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出租人也可委托承租人就其中某一项进行维修，维修费用由出租人负责或抵付人民防空工程使用费，也可约定解决方式。</w:t>
      </w:r>
    </w:p>
    <w:p w14:paraId="1809FD52">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租赁期间工程维修由承租人负责的，其维修范围和费用负担由双方在本合同第十三条中约定。</w:t>
      </w:r>
    </w:p>
    <w:p w14:paraId="5C7E310D">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第五条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工程租赁期间的水、电、暖、通信、</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费用由承租人负担。</w:t>
      </w:r>
    </w:p>
    <w:p w14:paraId="571CA8D9">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第六条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人防工程的装修</w:t>
      </w:r>
    </w:p>
    <w:p w14:paraId="13CC1468">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工程租赁期内，承租人经出租人同意，可以对工程按使用需要进行装修。装修方案和施工图纸必须经</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工程所在地</w:t>
      </w:r>
      <w:r>
        <w:rPr>
          <w:rFonts w:hint="default" w:ascii="Times New Roman" w:hAnsi="Times New Roman" w:eastAsia="仿宋_GB2312" w:cs="Times New Roman"/>
          <w:color w:val="000000" w:themeColor="text1"/>
          <w:sz w:val="32"/>
          <w:szCs w:val="32"/>
          <w14:textFill>
            <w14:solidFill>
              <w14:schemeClr w14:val="tx1"/>
            </w14:solidFill>
          </w14:textFill>
        </w:rPr>
        <w:t>人民防空主管部门审核同意后方可组织施工，施工完成后，由人防主管部门组织验收。承租人未经出租人同意对工程进行装修，自行承担由此引起的一切责任。租赁合同期满，对工程装修的处理：</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p>
    <w:p w14:paraId="2F963926">
      <w:pPr>
        <w:keepNext w:val="0"/>
        <w:keepLines w:val="0"/>
        <w:pageBreakBefore w:val="0"/>
        <w:widowControl w:val="0"/>
        <w:shd w:val="clear"/>
        <w:kinsoku/>
        <w:wordWrap/>
        <w:overflowPunct w:val="0"/>
        <w:topLinePunct w:val="0"/>
        <w:autoSpaceDE/>
        <w:autoSpaceDN/>
        <w:bidi w:val="0"/>
        <w:adjustRightInd/>
        <w:snapToGrid/>
        <w:spacing w:line="578" w:lineRule="exact"/>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p>
    <w:p w14:paraId="4792399D">
      <w:pPr>
        <w:keepNext w:val="0"/>
        <w:keepLines w:val="0"/>
        <w:pageBreakBefore w:val="0"/>
        <w:widowControl w:val="0"/>
        <w:numPr>
          <w:ilvl w:val="0"/>
          <w:numId w:val="0"/>
        </w:numPr>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pPr>
      <w:r>
        <w:rPr>
          <w:rFonts w:hint="eastAsia" w:ascii="Times New Roman" w:hAnsi="Times New Roman" w:eastAsia="仿宋_GB2312" w:cs="Times New Roman"/>
          <w:b/>
          <w:bCs/>
          <w:color w:val="000000" w:themeColor="text1"/>
          <w:sz w:val="32"/>
          <w:szCs w:val="32"/>
          <w:lang w:val="en-US" w:eastAsia="zh-CN"/>
          <w14:textFill>
            <w14:solidFill>
              <w14:schemeClr w14:val="tx1"/>
            </w14:solidFill>
          </w14:textFill>
        </w:rPr>
        <w:t>第七条</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工程租赁期内，承租人经出租人同意，可以按使用需要改善或者增设他物，改善或者增设他物的范围：</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p>
    <w:p w14:paraId="21A9A59E">
      <w:pPr>
        <w:keepNext w:val="0"/>
        <w:keepLines w:val="0"/>
        <w:pageBreakBefore w:val="0"/>
        <w:widowControl w:val="0"/>
        <w:numPr>
          <w:ilvl w:val="0"/>
          <w:numId w:val="0"/>
        </w:numPr>
        <w:shd w:val="clear"/>
        <w:kinsoku/>
        <w:wordWrap/>
        <w:overflowPunct w:val="0"/>
        <w:topLinePunct w:val="0"/>
        <w:autoSpaceDE/>
        <w:autoSpaceDN/>
        <w:bidi w:val="0"/>
        <w:adjustRightInd/>
        <w:snapToGrid/>
        <w:spacing w:line="578" w:lineRule="exact"/>
        <w:jc w:val="left"/>
        <w:textAlignment w:val="auto"/>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租赁合同期满，改善或者增设他物的处理：</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p>
    <w:p w14:paraId="7F6E13B9">
      <w:pPr>
        <w:keepNext w:val="0"/>
        <w:keepLines w:val="0"/>
        <w:pageBreakBefore w:val="0"/>
        <w:widowControl w:val="0"/>
        <w:numPr>
          <w:ilvl w:val="0"/>
          <w:numId w:val="0"/>
        </w:numPr>
        <w:shd w:val="clear"/>
        <w:kinsoku/>
        <w:wordWrap/>
        <w:overflowPunct w:val="0"/>
        <w:topLinePunct w:val="0"/>
        <w:autoSpaceDE/>
        <w:autoSpaceDN/>
        <w:bidi w:val="0"/>
        <w:adjustRightInd/>
        <w:snapToGrid/>
        <w:spacing w:line="578" w:lineRule="exact"/>
        <w:jc w:val="both"/>
        <w:textAlignment w:val="auto"/>
        <w:rPr>
          <w:rFonts w:hint="eastAsia" w:ascii="Times New Roman" w:hAnsi="Times New Roman" w:eastAsia="仿宋_GB2312" w:cs="Times New Roman"/>
          <w:color w:val="000000" w:themeColor="text1"/>
          <w:sz w:val="32"/>
          <w:szCs w:val="32"/>
          <w:u w:val="singl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t>。</w:t>
      </w:r>
    </w:p>
    <w:p w14:paraId="6CECDF1D">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第八条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出租人与承租人的变更</w:t>
      </w:r>
    </w:p>
    <w:p w14:paraId="7C2ABBEE">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出租人将工程所有权转让给第三人，本合同在租赁期间对受让第三人继续有效。</w:t>
      </w:r>
    </w:p>
    <w:p w14:paraId="29024F92">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承租人因经营需要，经出租人同意，在办理重新备案登手续后，可将工程转租给第三人使用。</w:t>
      </w:r>
    </w:p>
    <w:p w14:paraId="27218C1A">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第九条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工程租赁用途的变更</w:t>
      </w:r>
    </w:p>
    <w:p w14:paraId="2637061A">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工程租赁期内，承租人应当保持工程符合本合同约定的用途，如需变更用途，应当书面报经出租人同意，双方签订补充协议或者重新签订合同。</w:t>
      </w:r>
    </w:p>
    <w:p w14:paraId="39FFB258">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第十条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租赁合同的解除</w:t>
      </w:r>
    </w:p>
    <w:p w14:paraId="0D050299">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一、承租人有下列情形之一的，出租人有权解除合同：</w:t>
      </w:r>
    </w:p>
    <w:p w14:paraId="04B18979">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拖欠工程使用费达到</w:t>
      </w:r>
      <w:r>
        <w:rPr>
          <w:rFonts w:hint="default" w:ascii="Times New Roman" w:hAnsi="Times New Roman" w:eastAsia="仿宋_GB2312" w:cs="Times New Roman"/>
          <w:snapToGrid w:val="0"/>
          <w:color w:val="000000" w:themeColor="text1"/>
          <w:spacing w:val="-6"/>
          <w:kern w:val="0"/>
          <w:sz w:val="32"/>
          <w:szCs w:val="32"/>
          <w:u w:val="single"/>
          <w14:textFill>
            <w14:solidFill>
              <w14:schemeClr w14:val="tx1"/>
            </w14:solidFill>
          </w14:textFill>
        </w:rPr>
        <w:t xml:space="preserve">    </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天或者拖欠水电费达到</w:t>
      </w:r>
      <w:r>
        <w:rPr>
          <w:rFonts w:hint="default" w:ascii="Times New Roman" w:hAnsi="Times New Roman" w:eastAsia="仿宋_GB2312" w:cs="Times New Roman"/>
          <w:snapToGrid w:val="0"/>
          <w:color w:val="000000" w:themeColor="text1"/>
          <w:spacing w:val="-6"/>
          <w:kern w:val="0"/>
          <w:sz w:val="32"/>
          <w:szCs w:val="32"/>
          <w:u w:val="single"/>
          <w14:textFill>
            <w14:solidFill>
              <w14:schemeClr w14:val="tx1"/>
            </w14:solidFill>
          </w14:textFill>
        </w:rPr>
        <w:t xml:space="preserve">    </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天以上的；</w:t>
      </w:r>
    </w:p>
    <w:p w14:paraId="5A5E6566">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擅自将工程使用权转租的；</w:t>
      </w:r>
    </w:p>
    <w:p w14:paraId="505A7BB8">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三</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未经出租人同意，擅自对工程进行装修改造的；</w:t>
      </w:r>
    </w:p>
    <w:p w14:paraId="60C80692">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四</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未经出租人同意，擅自改变租赁用途的；</w:t>
      </w:r>
    </w:p>
    <w:p w14:paraId="2ACC8DCF">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五</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利用工程进行非法活动的；</w:t>
      </w:r>
    </w:p>
    <w:p w14:paraId="64F729DC">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六</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未按要求办理相关备案手续的。</w:t>
      </w:r>
    </w:p>
    <w:p w14:paraId="55638307">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二、出租人有下列情形之一的，承租人有权解除合同：</w:t>
      </w:r>
    </w:p>
    <w:p w14:paraId="28194CCE">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逾期</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天未交付工程供承租人使用的；</w:t>
      </w:r>
    </w:p>
    <w:p w14:paraId="68C15ACD">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提供的工程不符合合同约定条件，不能正常使用的；</w:t>
      </w:r>
    </w:p>
    <w:p w14:paraId="1E36F06E">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三</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在本合同约定的维修范围内未尽维修责任，使承租人无法正常使用的；</w:t>
      </w:r>
    </w:p>
    <w:p w14:paraId="3C2D4D51">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四</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未按要求办理相关备案手续的。</w:t>
      </w:r>
    </w:p>
    <w:p w14:paraId="53D4110E">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第十一</w:t>
      </w:r>
      <w:r>
        <w:rPr>
          <w:rFonts w:hint="eastAsia" w:ascii="Times New Roman" w:hAnsi="Times New Roman" w:eastAsia="仿宋_GB2312" w:cs="Times New Roman"/>
          <w:b/>
          <w:bCs/>
          <w:color w:val="000000" w:themeColor="text1"/>
          <w:sz w:val="32"/>
          <w:szCs w:val="32"/>
          <w:lang w:eastAsia="zh-CN"/>
          <w14:textFill>
            <w14:solidFill>
              <w14:schemeClr w14:val="tx1"/>
            </w14:solidFill>
          </w14:textFill>
        </w:rPr>
        <w:t>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违约责任</w:t>
      </w:r>
    </w:p>
    <w:p w14:paraId="4D370286">
      <w:pPr>
        <w:keepNext w:val="0"/>
        <w:keepLines w:val="0"/>
        <w:pageBreakBefore w:val="0"/>
        <w:widowControl w:val="0"/>
        <w:numPr>
          <w:ilvl w:val="0"/>
          <w:numId w:val="0"/>
        </w:numPr>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一、</w:t>
      </w:r>
      <w:r>
        <w:rPr>
          <w:rFonts w:hint="default" w:ascii="Times New Roman" w:hAnsi="Times New Roman" w:eastAsia="仿宋_GB2312" w:cs="Times New Roman"/>
          <w:color w:val="000000" w:themeColor="text1"/>
          <w:sz w:val="32"/>
          <w:szCs w:val="32"/>
          <w14:textFill>
            <w14:solidFill>
              <w14:schemeClr w14:val="tx1"/>
            </w14:solidFill>
          </w14:textFill>
        </w:rPr>
        <w:t>出租人责任</w:t>
      </w:r>
    </w:p>
    <w:p w14:paraId="3BE5F7F6">
      <w:pPr>
        <w:keepNext w:val="0"/>
        <w:keepLines w:val="0"/>
        <w:pageBreakBefore w:val="0"/>
        <w:widowControl w:val="0"/>
        <w:numPr>
          <w:ilvl w:val="0"/>
          <w:numId w:val="0"/>
        </w:numPr>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未按时提供合同约定条件的工程，负责赔偿由此给承租人造成的损失；</w:t>
      </w:r>
    </w:p>
    <w:p w14:paraId="7350B6E7">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未按时</w:t>
      </w:r>
      <w:r>
        <w:rPr>
          <w:rFonts w:hint="eastAsia" w:ascii="Times New Roman" w:hAnsi="Times New Roman" w:eastAsia="仿宋_GB2312" w:cs="Times New Roman"/>
          <w:snapToGrid w:val="0"/>
          <w:color w:val="000000" w:themeColor="text1"/>
          <w:spacing w:val="-6"/>
          <w:kern w:val="0"/>
          <w:sz w:val="32"/>
          <w:szCs w:val="32"/>
          <w:lang w:eastAsia="zh-CN"/>
          <w14:textFill>
            <w14:solidFill>
              <w14:schemeClr w14:val="tx1"/>
            </w14:solidFill>
          </w14:textFill>
        </w:rPr>
        <w:t>（</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或按合同约定</w:t>
      </w:r>
      <w:r>
        <w:rPr>
          <w:rFonts w:hint="eastAsia" w:ascii="Times New Roman" w:hAnsi="Times New Roman" w:eastAsia="仿宋_GB2312" w:cs="Times New Roman"/>
          <w:snapToGrid w:val="0"/>
          <w:color w:val="000000" w:themeColor="text1"/>
          <w:spacing w:val="-6"/>
          <w:kern w:val="0"/>
          <w:sz w:val="32"/>
          <w:szCs w:val="32"/>
          <w:lang w:eastAsia="zh-CN"/>
          <w14:textFill>
            <w14:solidFill>
              <w14:schemeClr w14:val="tx1"/>
            </w14:solidFill>
          </w14:textFill>
        </w:rPr>
        <w:t>）</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维修工程，偿付违约金</w:t>
      </w:r>
      <w:r>
        <w:rPr>
          <w:rFonts w:hint="default" w:ascii="Times New Roman" w:hAnsi="Times New Roman" w:eastAsia="仿宋_GB2312" w:cs="Times New Roman"/>
          <w:snapToGrid w:val="0"/>
          <w:color w:val="000000" w:themeColor="text1"/>
          <w:spacing w:val="-6"/>
          <w:kern w:val="0"/>
          <w:sz w:val="32"/>
          <w:szCs w:val="32"/>
          <w:u w:val="single"/>
          <w14:textFill>
            <w14:solidFill>
              <w14:schemeClr w14:val="tx1"/>
            </w14:solidFill>
          </w14:textFill>
        </w:rPr>
        <w:t xml:space="preserve">   </w:t>
      </w:r>
      <w:r>
        <w:rPr>
          <w:rFonts w:hint="default" w:ascii="Times New Roman" w:hAnsi="Times New Roman" w:eastAsia="仿宋_GB2312" w:cs="Times New Roman"/>
          <w:snapToGrid w:val="0"/>
          <w:color w:val="000000" w:themeColor="text1"/>
          <w:spacing w:val="-6"/>
          <w:kern w:val="0"/>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snapToGrid w:val="0"/>
          <w:color w:val="000000" w:themeColor="text1"/>
          <w:spacing w:val="-6"/>
          <w:kern w:val="0"/>
          <w:sz w:val="32"/>
          <w:szCs w:val="32"/>
          <w:u w:val="single"/>
          <w14:textFill>
            <w14:solidFill>
              <w14:schemeClr w14:val="tx1"/>
            </w14:solidFill>
          </w14:textFill>
        </w:rPr>
        <w:t xml:space="preserve"> </w:t>
      </w:r>
      <w:r>
        <w:rPr>
          <w:rFonts w:hint="default" w:ascii="Times New Roman" w:hAnsi="Times New Roman" w:eastAsia="仿宋_GB2312" w:cs="Times New Roman"/>
          <w:snapToGrid w:val="0"/>
          <w:color w:val="000000" w:themeColor="text1"/>
          <w:spacing w:val="-6"/>
          <w:kern w:val="0"/>
          <w:sz w:val="32"/>
          <w:szCs w:val="32"/>
          <w14:textFill>
            <w14:solidFill>
              <w14:schemeClr w14:val="tx1"/>
            </w14:solidFill>
          </w14:textFill>
        </w:rPr>
        <w:t>元；</w:t>
      </w:r>
    </w:p>
    <w:p w14:paraId="4B1ED9A2">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三</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除不可抗力因素外，因工程主体结构、</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p>
    <w:p w14:paraId="545868FF">
      <w:pPr>
        <w:keepNext w:val="0"/>
        <w:keepLines w:val="0"/>
        <w:pageBreakBefore w:val="0"/>
        <w:widowControl w:val="0"/>
        <w:shd w:val="clear"/>
        <w:kinsoku/>
        <w:wordWrap/>
        <w:overflowPunct w:val="0"/>
        <w:topLinePunct w:val="0"/>
        <w:autoSpaceDE/>
        <w:autoSpaceDN/>
        <w:bidi w:val="0"/>
        <w:adjustRightInd/>
        <w:snapToGrid/>
        <w:spacing w:line="578" w:lineRule="exact"/>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造成承租人人身受到伤害或者财产损毁的，负责赔偿损失；</w:t>
      </w:r>
    </w:p>
    <w:p w14:paraId="671FC690">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eastAsia" w:ascii="Times New Roman" w:hAnsi="Times New Roman" w:eastAsia="仿宋_GB2312" w:cs="Times New Roman"/>
          <w:color w:val="000000" w:themeColor="text1"/>
          <w:sz w:val="32"/>
          <w:szCs w:val="32"/>
          <w:u w:val="single"/>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四</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其他：</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p>
    <w:p w14:paraId="560E485D">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二、承租人责任</w:t>
      </w:r>
    </w:p>
    <w:p w14:paraId="2D8FD821">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未按时缴纳人民防空工程使用费，应如数补缴，并按每天千分之二的比例加收滞纳金；</w:t>
      </w:r>
    </w:p>
    <w:p w14:paraId="2F3E4515">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由于使用不当或其他承租人原因造成工程损坏以及发生安全事故的，负责修复并赔偿损失；</w:t>
      </w:r>
    </w:p>
    <w:p w14:paraId="0180A503">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三</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未经出租人同意，擅自对工程进行装修改造的，负责按出租人要求恢复原状并赔偿损失；</w:t>
      </w:r>
    </w:p>
    <w:p w14:paraId="4ED8458A">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四</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逾期不归还人民防空工程使用权，除补缴人民防空工程使用费外，偿付违约金</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元；</w:t>
      </w:r>
    </w:p>
    <w:p w14:paraId="77CDAA21">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五</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其他：</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p>
    <w:p w14:paraId="05F60507">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三、因国家战备需要终止合同，出租人不负赔偿责任。</w:t>
      </w:r>
    </w:p>
    <w:p w14:paraId="44F68A33">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第十二条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合同争议解决方式</w:t>
      </w:r>
    </w:p>
    <w:p w14:paraId="72C956D3">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本合同在履行过程中发生争议，由当事人双方协商解决。协商不成的，按下列第</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种方式解决：</w:t>
      </w:r>
    </w:p>
    <w:p w14:paraId="4C4FFA89">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依法向</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仲裁委员会</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申请</w:t>
      </w:r>
      <w:r>
        <w:rPr>
          <w:rFonts w:hint="default" w:ascii="Times New Roman" w:hAnsi="Times New Roman" w:eastAsia="仿宋_GB2312" w:cs="Times New Roman"/>
          <w:color w:val="000000" w:themeColor="text1"/>
          <w:sz w:val="32"/>
          <w:szCs w:val="32"/>
          <w14:textFill>
            <w14:solidFill>
              <w14:schemeClr w14:val="tx1"/>
            </w14:solidFill>
          </w14:textFill>
        </w:rPr>
        <w:t>仲裁；</w:t>
      </w:r>
    </w:p>
    <w:p w14:paraId="7D4CB35F">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依法向工程所在地人民法院起诉。</w:t>
      </w:r>
    </w:p>
    <w:p w14:paraId="319C1CDA">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第十三条</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其他约定事项</w:t>
      </w:r>
    </w:p>
    <w:p w14:paraId="30410AEA">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任何一方需要提前解除或续签合同，应提前</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天与对方协商。</w:t>
      </w:r>
    </w:p>
    <w:p w14:paraId="6DF7F22F">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p>
    <w:p w14:paraId="795B389B">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第十</w:t>
      </w:r>
      <w:r>
        <w:rPr>
          <w:rFonts w:hint="eastAsia" w:ascii="Times New Roman" w:hAnsi="Times New Roman" w:eastAsia="仿宋_GB2312" w:cs="Times New Roman"/>
          <w:b/>
          <w:bCs/>
          <w:color w:val="000000" w:themeColor="text1"/>
          <w:sz w:val="32"/>
          <w:szCs w:val="32"/>
          <w:lang w:val="en-US" w:eastAsia="zh-CN"/>
          <w14:textFill>
            <w14:solidFill>
              <w14:schemeClr w14:val="tx1"/>
            </w14:solidFill>
          </w14:textFill>
        </w:rPr>
        <w:t>四</w:t>
      </w:r>
      <w:r>
        <w:rPr>
          <w:rFonts w:hint="default" w:ascii="Times New Roman" w:hAnsi="Times New Roman" w:eastAsia="仿宋_GB2312" w:cs="Times New Roman"/>
          <w:b/>
          <w:bCs/>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承租人在本合同签订后5个工作日内，应当到工程所在地人民防空主管部门办理备案登记手续。</w:t>
      </w:r>
    </w:p>
    <w:p w14:paraId="38D716EE">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3"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第十</w:t>
      </w:r>
      <w:r>
        <w:rPr>
          <w:rFonts w:hint="eastAsia" w:ascii="Times New Roman" w:hAnsi="Times New Roman" w:eastAsia="仿宋_GB2312" w:cs="Times New Roman"/>
          <w:b/>
          <w:bCs/>
          <w:color w:val="000000" w:themeColor="text1"/>
          <w:sz w:val="32"/>
          <w:szCs w:val="32"/>
          <w:lang w:val="en-US" w:eastAsia="zh-CN"/>
          <w14:textFill>
            <w14:solidFill>
              <w14:schemeClr w14:val="tx1"/>
            </w14:solidFill>
          </w14:textFill>
        </w:rPr>
        <w:t>五</w:t>
      </w:r>
      <w:r>
        <w:rPr>
          <w:rFonts w:hint="default" w:ascii="Times New Roman" w:hAnsi="Times New Roman" w:eastAsia="仿宋_GB2312" w:cs="Times New Roman"/>
          <w:b/>
          <w:bCs/>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本合同未尽事宜，按国家有关法律法规由双方协商作出补充协议。补充协议与本合同具有同等效力。</w:t>
      </w:r>
    </w:p>
    <w:p w14:paraId="723CD0BF">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14:paraId="2648E3DF">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出租人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盖章</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ab/>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承租人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盖章</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14:paraId="16BC04F2">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地址：</w:t>
      </w:r>
      <w:r>
        <w:rPr>
          <w:rFonts w:hint="default" w:ascii="Times New Roman" w:hAnsi="Times New Roman" w:eastAsia="仿宋_GB2312" w:cs="Times New Roman"/>
          <w:color w:val="000000" w:themeColor="text1"/>
          <w:sz w:val="32"/>
          <w:szCs w:val="32"/>
          <w14:textFill>
            <w14:solidFill>
              <w14:schemeClr w14:val="tx1"/>
            </w14:solidFill>
          </w14:textFill>
        </w:rPr>
        <w:tab/>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地址：</w:t>
      </w:r>
    </w:p>
    <w:p w14:paraId="629932CA">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法定代表人：</w:t>
      </w:r>
      <w:r>
        <w:rPr>
          <w:rFonts w:hint="default" w:ascii="Times New Roman" w:hAnsi="Times New Roman" w:eastAsia="仿宋_GB2312" w:cs="Times New Roman"/>
          <w:color w:val="000000" w:themeColor="text1"/>
          <w:sz w:val="32"/>
          <w:szCs w:val="32"/>
          <w14:textFill>
            <w14:solidFill>
              <w14:schemeClr w14:val="tx1"/>
            </w14:solidFill>
          </w14:textFill>
        </w:rPr>
        <w:tab/>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法定代表人：</w:t>
      </w:r>
    </w:p>
    <w:p w14:paraId="70AF4628">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委托代理人：</w:t>
      </w:r>
      <w:r>
        <w:rPr>
          <w:rFonts w:hint="default" w:ascii="Times New Roman" w:hAnsi="Times New Roman" w:eastAsia="仿宋_GB2312" w:cs="Times New Roman"/>
          <w:color w:val="000000" w:themeColor="text1"/>
          <w:sz w:val="32"/>
          <w:szCs w:val="32"/>
          <w14:textFill>
            <w14:solidFill>
              <w14:schemeClr w14:val="tx1"/>
            </w14:solidFill>
          </w14:textFill>
        </w:rPr>
        <w:tab/>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委托代理人：</w:t>
      </w:r>
    </w:p>
    <w:p w14:paraId="6DBD60BC">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开户银行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ab/>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4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开户银行：</w:t>
      </w:r>
    </w:p>
    <w:p w14:paraId="03A31BE7">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账号：</w:t>
      </w:r>
      <w:r>
        <w:rPr>
          <w:rFonts w:hint="default" w:ascii="Times New Roman" w:hAnsi="Times New Roman" w:eastAsia="仿宋_GB2312" w:cs="Times New Roman"/>
          <w:color w:val="000000" w:themeColor="text1"/>
          <w:sz w:val="32"/>
          <w:szCs w:val="32"/>
          <w14:textFill>
            <w14:solidFill>
              <w14:schemeClr w14:val="tx1"/>
            </w14:solidFill>
          </w14:textFill>
        </w:rPr>
        <w:tab/>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账号：</w:t>
      </w:r>
    </w:p>
    <w:p w14:paraId="059ADD82">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电话：</w:t>
      </w:r>
      <w:r>
        <w:rPr>
          <w:rFonts w:hint="default" w:ascii="Times New Roman" w:hAnsi="Times New Roman" w:eastAsia="仿宋_GB2312" w:cs="Times New Roman"/>
          <w:color w:val="000000" w:themeColor="text1"/>
          <w:sz w:val="32"/>
          <w:szCs w:val="32"/>
          <w14:textFill>
            <w14:solidFill>
              <w14:schemeClr w14:val="tx1"/>
            </w14:solidFill>
          </w14:textFill>
        </w:rPr>
        <w:tab/>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电话：</w:t>
      </w:r>
    </w:p>
    <w:p w14:paraId="4379C62B">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签订地点：</w:t>
      </w:r>
      <w:r>
        <w:rPr>
          <w:rFonts w:hint="default" w:ascii="Times New Roman" w:hAnsi="Times New Roman" w:eastAsia="仿宋_GB2312" w:cs="Times New Roman"/>
          <w:color w:val="000000" w:themeColor="text1"/>
          <w:sz w:val="32"/>
          <w:szCs w:val="32"/>
          <w14:textFill>
            <w14:solidFill>
              <w14:schemeClr w14:val="tx1"/>
            </w14:solidFill>
          </w14:textFill>
        </w:rPr>
        <w:tab/>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23"/>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签订日期：</w:t>
      </w:r>
    </w:p>
    <w:p w14:paraId="2E5A89B0">
      <w:pPr>
        <w:keepNext w:val="0"/>
        <w:keepLines w:val="0"/>
        <w:pageBreakBefore w:val="0"/>
        <w:widowControl w:val="0"/>
        <w:shd w:val="clear"/>
        <w:kinsoku/>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br w:type="page"/>
      </w:r>
    </w:p>
    <w:p w14:paraId="556E6B99">
      <w:pPr>
        <w:keepNext w:val="0"/>
        <w:keepLines w:val="0"/>
        <w:pageBreakBefore w:val="0"/>
        <w:widowControl w:val="0"/>
        <w:shd w:val="clear"/>
        <w:kinsoku/>
        <w:wordWrap/>
        <w:overflowPunct/>
        <w:topLinePunct w:val="0"/>
        <w:autoSpaceDE/>
        <w:autoSpaceDN/>
        <w:bidi w:val="0"/>
        <w:adjustRightInd/>
        <w:snapToGrid/>
        <w:spacing w:line="578" w:lineRule="exact"/>
        <w:jc w:val="center"/>
        <w:textAlignment w:val="auto"/>
        <w:rPr>
          <w:rFonts w:hint="eastAsia" w:ascii="Times New Roman" w:hAnsi="Times New Roman" w:eastAsia="方正小标宋_GBK" w:cs="Times New Roman"/>
          <w:color w:val="000000" w:themeColor="text1"/>
          <w:sz w:val="44"/>
          <w:szCs w:val="44"/>
          <w:lang w:val="en-US" w:eastAsia="zh-CN"/>
          <w14:textFill>
            <w14:solidFill>
              <w14:schemeClr w14:val="tx1"/>
            </w14:solidFill>
          </w14:textFill>
        </w:rPr>
      </w:pPr>
    </w:p>
    <w:p w14:paraId="00E526B8">
      <w:pPr>
        <w:keepNext w:val="0"/>
        <w:keepLines w:val="0"/>
        <w:pageBreakBefore w:val="0"/>
        <w:widowControl w:val="0"/>
        <w:shd w:val="clear"/>
        <w:kinsoku/>
        <w:wordWrap/>
        <w:overflowPunct/>
        <w:topLinePunct w:val="0"/>
        <w:autoSpaceDE/>
        <w:autoSpaceDN/>
        <w:bidi w:val="0"/>
        <w:adjustRightInd/>
        <w:snapToGrid/>
        <w:spacing w:line="578" w:lineRule="exact"/>
        <w:jc w:val="center"/>
        <w:textAlignment w:val="auto"/>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eastAsia" w:ascii="Times New Roman" w:hAnsi="Times New Roman" w:eastAsia="方正小标宋_GBK" w:cs="Times New Roman"/>
          <w:color w:val="000000" w:themeColor="text1"/>
          <w:sz w:val="44"/>
          <w:szCs w:val="44"/>
          <w:lang w:val="en-US" w:eastAsia="zh-CN"/>
          <w14:textFill>
            <w14:solidFill>
              <w14:schemeClr w14:val="tx1"/>
            </w14:solidFill>
          </w14:textFill>
        </w:rPr>
        <w:t>人防</w:t>
      </w:r>
      <w:r>
        <w:rPr>
          <w:rFonts w:hint="default" w:ascii="Times New Roman" w:hAnsi="Times New Roman" w:eastAsia="方正小标宋_GBK" w:cs="Times New Roman"/>
          <w:color w:val="000000" w:themeColor="text1"/>
          <w:sz w:val="44"/>
          <w:szCs w:val="44"/>
          <w14:textFill>
            <w14:solidFill>
              <w14:schemeClr w14:val="tx1"/>
            </w14:solidFill>
          </w14:textFill>
        </w:rPr>
        <w:t>工程安全责任书</w:t>
      </w:r>
    </w:p>
    <w:p w14:paraId="4E9CC45F">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0" w:firstLineChars="0"/>
        <w:jc w:val="center"/>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p>
    <w:p w14:paraId="6BA38FA4">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 xml:space="preserve">根据《中华人民共和国消防法》《中华人民共和国防洪法》《中华人民共和国安全生产法》以及单位人防工程消防、防汛、安全生产管理职责规定，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xml:space="preserve">同志，联系方式       </w:t>
      </w:r>
    </w:p>
    <w:p w14:paraId="5D70F1B9">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 xml:space="preserve">为消防、防汛、安全生产责任人，      </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xml:space="preserve">同志，联系方式       </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为安全员，负责本单位的</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各项具体</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安全工作，履行下列职责：</w:t>
      </w:r>
    </w:p>
    <w:p w14:paraId="75483227">
      <w:pPr>
        <w:keepNext w:val="0"/>
        <w:keepLines w:val="0"/>
        <w:pageBreakBefore w:val="0"/>
        <w:widowControl w:val="0"/>
        <w:shd w:val="clear"/>
        <w:kinsoku/>
        <w:wordWrap/>
        <w:overflowPunct w:val="0"/>
        <w:topLinePunct w:val="0"/>
        <w:autoSpaceDE/>
        <w:autoSpaceDN/>
        <w:bidi w:val="0"/>
        <w:adjustRightInd/>
        <w:snapToGrid/>
        <w:spacing w:line="578" w:lineRule="exact"/>
        <w:ind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snapToGrid w:val="0"/>
          <w:color w:val="000000" w:themeColor="text1"/>
          <w:spacing w:val="-6"/>
          <w:kern w:val="0"/>
          <w:sz w:val="32"/>
          <w:szCs w:val="32"/>
          <w:lang w:eastAsia="zh-CN"/>
          <w14:textFill>
            <w14:solidFill>
              <w14:schemeClr w14:val="tx1"/>
            </w14:solidFill>
          </w14:textFill>
        </w:rPr>
        <w:t>建立健全消防、</w:t>
      </w:r>
      <w:r>
        <w:rPr>
          <w:rFonts w:hint="eastAsia" w:ascii="Times New Roman" w:hAnsi="Times New Roman" w:eastAsia="仿宋_GB2312" w:cs="Times New Roman"/>
          <w:snapToGrid w:val="0"/>
          <w:color w:val="000000" w:themeColor="text1"/>
          <w:spacing w:val="-6"/>
          <w:kern w:val="0"/>
          <w:sz w:val="32"/>
          <w:szCs w:val="32"/>
          <w:lang w:val="en-US" w:eastAsia="zh-CN"/>
          <w14:textFill>
            <w14:solidFill>
              <w14:schemeClr w14:val="tx1"/>
            </w14:solidFill>
          </w14:textFill>
        </w:rPr>
        <w:t>防汛、</w:t>
      </w:r>
      <w:r>
        <w:rPr>
          <w:rFonts w:hint="default" w:ascii="Times New Roman" w:hAnsi="Times New Roman" w:eastAsia="仿宋_GB2312" w:cs="Times New Roman"/>
          <w:snapToGrid w:val="0"/>
          <w:color w:val="000000" w:themeColor="text1"/>
          <w:spacing w:val="-6"/>
          <w:kern w:val="0"/>
          <w:sz w:val="32"/>
          <w:szCs w:val="32"/>
          <w:lang w:eastAsia="zh-CN"/>
          <w14:textFill>
            <w14:solidFill>
              <w14:schemeClr w14:val="tx1"/>
            </w14:solidFill>
          </w14:textFill>
        </w:rPr>
        <w:t>治安组织，落实责任，履行职责；</w:t>
      </w:r>
    </w:p>
    <w:p w14:paraId="1DBDA328">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定期组织在岗职工进行消防、安全知识培训教育，对消防、安全工作进行讲评考核；</w:t>
      </w:r>
    </w:p>
    <w:p w14:paraId="1461838A">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三</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snapToGrid w:val="0"/>
          <w:color w:val="000000" w:themeColor="text1"/>
          <w:spacing w:val="-6"/>
          <w:kern w:val="0"/>
          <w:sz w:val="32"/>
          <w:szCs w:val="32"/>
          <w:lang w:eastAsia="zh-CN"/>
          <w14:textFill>
            <w14:solidFill>
              <w14:schemeClr w14:val="tx1"/>
            </w14:solidFill>
          </w14:textFill>
        </w:rPr>
        <w:t>组织防火、防汛、安全生产检查，督促整改火灾、汛情、安全生产隐患，及时处理涉及消防、防汛、安全生产的重大问题；</w:t>
      </w:r>
    </w:p>
    <w:p w14:paraId="245BFA3D">
      <w:pPr>
        <w:keepNext w:val="0"/>
        <w:keepLines w:val="0"/>
        <w:pageBreakBefore w:val="0"/>
        <w:widowControl w:val="0"/>
        <w:shd w:val="clear"/>
        <w:kinsoku/>
        <w:wordWrap/>
        <w:overflowPunct w:val="0"/>
        <w:topLinePunct w:val="0"/>
        <w:autoSpaceDE/>
        <w:autoSpaceDN/>
        <w:bidi w:val="0"/>
        <w:adjustRightInd/>
        <w:snapToGrid/>
        <w:spacing w:line="578" w:lineRule="exact"/>
        <w:ind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四</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消火栓、防火卷帘门、手动报警按钮等处不得堆放杂物，不得圈占、遮盖，消防设备设施不得擅自拆除和挪移；</w:t>
      </w:r>
    </w:p>
    <w:p w14:paraId="554D1B9E">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五</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人员避难</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通</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道、疏散</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通</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道及疏散出口处，不得摆设柜台、占道经营，并设置火灾疏散指示标志和标志灯；</w:t>
      </w:r>
    </w:p>
    <w:p w14:paraId="08394AB1">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六</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消防、高压电器等特种从业人员必须具有相应的职业资格，持证上岗；</w:t>
      </w:r>
    </w:p>
    <w:p w14:paraId="21CB0164">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七</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建立昼夜值班巡视制度，保卫人员应当加强巡查，对影响安全使用的行为，及时制止</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14:paraId="22CE160E">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（八）</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使用单位应当严格用电管理，定期对电路和电器设备进行检查，不得乱拉、乱接临时用电线路，严禁超负荷用电</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14:paraId="19997F82">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九</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xml:space="preserve"> 为消防、防汛、安全生产管理提供必要的经费和组织保障；</w:t>
      </w:r>
    </w:p>
    <w:p w14:paraId="52879CBC">
      <w:pPr>
        <w:keepNext w:val="0"/>
        <w:keepLines w:val="0"/>
        <w:pageBreakBefore w:val="0"/>
        <w:widowControl w:val="0"/>
        <w:shd w:val="clear"/>
        <w:kinsoku/>
        <w:wordWrap/>
        <w:overflowPunct w:val="0"/>
        <w:topLinePunct w:val="0"/>
        <w:autoSpaceDE/>
        <w:autoSpaceDN/>
        <w:bidi w:val="0"/>
        <w:adjustRightInd/>
        <w:snapToGrid/>
        <w:spacing w:line="578" w:lineRule="exact"/>
        <w:ind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十</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）确定逐级消防、防汛、安全生产责任，批准实施消防、</w:t>
      </w:r>
      <w:r>
        <w:rPr>
          <w:rFonts w:hint="default" w:ascii="Times New Roman" w:hAnsi="Times New Roman" w:eastAsia="仿宋_GB2312" w:cs="Times New Roman"/>
          <w:color w:val="000000" w:themeColor="text1"/>
          <w:spacing w:val="-6"/>
          <w:sz w:val="32"/>
          <w:szCs w:val="32"/>
          <w:lang w:eastAsia="zh-CN"/>
          <w14:textFill>
            <w14:solidFill>
              <w14:schemeClr w14:val="tx1"/>
            </w14:solidFill>
          </w14:textFill>
        </w:rPr>
        <w:t>防汛、安全生产管理制度和保障消防、防汛、安全生产的操作规程；</w:t>
      </w:r>
    </w:p>
    <w:p w14:paraId="5E5C1E12">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十一</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）针对本单位的实际情况组织制定灭火、抗洪和应急抢险、疏散预案，并每半年组织一次实</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地</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演练</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14:paraId="66939EF4">
      <w:pPr>
        <w:keepNext w:val="0"/>
        <w:keepLines w:val="0"/>
        <w:pageBreakBefore w:val="0"/>
        <w:widowControl w:val="0"/>
        <w:shd w:val="clear"/>
        <w:kinsoku/>
        <w:wordWrap/>
        <w:overflowPunct w:val="0"/>
        <w:topLinePunct w:val="0"/>
        <w:autoSpaceDE/>
        <w:autoSpaceDN/>
        <w:bidi w:val="0"/>
        <w:adjustRightInd/>
        <w:snapToGrid/>
        <w:spacing w:line="578" w:lineRule="exact"/>
        <w:ind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十二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人防工程使用</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单位应自觉接受县级以上人民防空主管部门监督检查和管理，对检查中发现的问题，应及时按照人防主管部门的要求进行整改。</w:t>
      </w:r>
    </w:p>
    <w:p w14:paraId="4E01FD42">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本责任书未尽事宜，按国家有关法律、法规和政策规定执行。</w:t>
      </w:r>
    </w:p>
    <w:p w14:paraId="15DB97DB">
      <w:pPr>
        <w:keepNext w:val="0"/>
        <w:keepLines w:val="0"/>
        <w:pageBreakBefore w:val="0"/>
        <w:widowControl w:val="0"/>
        <w:shd w:val="clear"/>
        <w:kinsoku/>
        <w:wordWrap/>
        <w:overflowPunct w:val="0"/>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本责任书一式</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叁</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份，</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主管部门、工程隶属</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单位、</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使用</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单位各执</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壹</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份。</w:t>
      </w:r>
    </w:p>
    <w:p w14:paraId="3B9332F4">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本责任书自签订之日起生效。</w:t>
      </w:r>
    </w:p>
    <w:p w14:paraId="3063AC93">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工程隶属单位负责人：</w:t>
      </w:r>
    </w:p>
    <w:p w14:paraId="575C77BA">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 xml:space="preserve">联系电话：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联系人：</w:t>
      </w:r>
    </w:p>
    <w:p w14:paraId="47601761">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工程使用单位负责人：</w:t>
      </w:r>
    </w:p>
    <w:p w14:paraId="66048CE7">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联系电话：            联系人：</w:t>
      </w:r>
    </w:p>
    <w:p w14:paraId="1D938AA1">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p>
    <w:p w14:paraId="7362FF5F">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工程隶属单位</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公章</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工程使用单位</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公章</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14:paraId="04C4B452">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日  期：</w:t>
      </w:r>
    </w:p>
    <w:p w14:paraId="0E344631">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p>
    <w:p w14:paraId="778B3A0F">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440" w:firstLineChars="100"/>
        <w:jc w:val="both"/>
        <w:textAlignment w:val="auto"/>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人民防空工程使用和维护管理责任</w:t>
      </w:r>
      <w:r>
        <w:rPr>
          <w:rFonts w:hint="eastAsia" w:ascii="Times New Roman" w:hAnsi="Times New Roman" w:eastAsia="方正小标宋_GBK" w:cs="Times New Roman"/>
          <w:color w:val="000000" w:themeColor="text1"/>
          <w:sz w:val="44"/>
          <w:szCs w:val="44"/>
          <w:lang w:val="en-US" w:eastAsia="zh-CN"/>
          <w14:textFill>
            <w14:solidFill>
              <w14:schemeClr w14:val="tx1"/>
            </w14:solidFill>
          </w14:textFill>
        </w:rPr>
        <w:t>告知</w:t>
      </w:r>
      <w:r>
        <w:rPr>
          <w:rFonts w:hint="default" w:ascii="Times New Roman" w:hAnsi="Times New Roman" w:eastAsia="方正小标宋_GBK" w:cs="Times New Roman"/>
          <w:color w:val="000000" w:themeColor="text1"/>
          <w:sz w:val="44"/>
          <w:szCs w:val="44"/>
          <w14:textFill>
            <w14:solidFill>
              <w14:schemeClr w14:val="tx1"/>
            </w14:solidFill>
          </w14:textFill>
        </w:rPr>
        <w:t>书</w:t>
      </w:r>
    </w:p>
    <w:p w14:paraId="5042FE50">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0" w:firstLineChars="0"/>
        <w:jc w:val="center"/>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非备案资料</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p>
    <w:p w14:paraId="5F786E9A">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0" w:firstLineChars="0"/>
        <w:jc w:val="center"/>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p>
    <w:p w14:paraId="1572FC78">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为了加强和改进全市人防工程维护管理工作，提升人防工程管理使用效能，根据</w:t>
      </w:r>
      <w:r>
        <w:rPr>
          <w:rFonts w:hint="eastAsia" w:ascii="仿宋_GB2312" w:hAnsi="仿宋_GB2312" w:eastAsia="仿宋_GB2312" w:cs="仿宋_GB2312"/>
          <w:b/>
          <w:i w:val="0"/>
          <w:caps w:val="0"/>
          <w:color w:val="000000" w:themeColor="text1"/>
          <w:spacing w:val="0"/>
          <w:sz w:val="32"/>
          <w:szCs w:val="32"/>
          <w:shd w:val="clear" w:fill="FFFFFF"/>
          <w14:textFill>
            <w14:solidFill>
              <w14:schemeClr w14:val="tx1"/>
            </w14:solidFill>
          </w14:textFill>
        </w:rPr>
        <w:t>国人防办字〔2001〕210号</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人民防空工程维护管理</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办法</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以及《陕西省物业服务管理条例》的相关规定，人防工程隶属单位或使用单位应当履行下列</w:t>
      </w:r>
      <w:r>
        <w:rPr>
          <w:rFonts w:hint="eastAsia" w:ascii="仿宋_GB2312" w:hAnsi="仿宋_GB2312" w:eastAsia="仿宋_GB2312" w:cs="仿宋_GB2312"/>
          <w:color w:val="000000" w:themeColor="text1"/>
          <w:sz w:val="32"/>
          <w:szCs w:val="32"/>
          <w:lang w:eastAsia="zh-CN"/>
          <w14:textFill>
            <w14:solidFill>
              <w14:schemeClr w14:val="tx1"/>
            </w14:solidFill>
          </w14:textFill>
        </w:rPr>
        <w:t>平时使用和维护管理责任和义务。</w:t>
      </w:r>
    </w:p>
    <w:p w14:paraId="5D8CCB9B">
      <w:pPr>
        <w:pStyle w:val="5"/>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578" w:lineRule="exact"/>
        <w:ind w:firstLine="640" w:firstLineChars="200"/>
        <w:jc w:val="both"/>
        <w:textAlignment w:val="auto"/>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lang w:eastAsia="zh-CN"/>
          <w14:textFill>
            <w14:solidFill>
              <w14:schemeClr w14:val="tx1"/>
            </w14:solidFill>
          </w14:textFill>
        </w:rPr>
        <w:t>一、</w:t>
      </w:r>
      <w:r>
        <w:rPr>
          <w:rFonts w:hint="eastAsia" w:ascii="方正黑体_GBK" w:hAnsi="方正黑体_GBK" w:eastAsia="方正黑体_GBK" w:cs="方正黑体_GBK"/>
          <w:bCs/>
          <w:color w:val="000000" w:themeColor="text1"/>
          <w:sz w:val="32"/>
          <w:szCs w:val="32"/>
          <w:shd w:val="clear" w:color="auto" w:fill="FFFFFF"/>
          <w14:textFill>
            <w14:solidFill>
              <w14:schemeClr w14:val="tx1"/>
            </w14:solidFill>
          </w14:textFill>
        </w:rPr>
        <w:t>人防工程维护管理的标准</w:t>
      </w:r>
    </w:p>
    <w:p w14:paraId="2B60B9D7">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工程结构完好；</w:t>
      </w:r>
    </w:p>
    <w:p w14:paraId="4C7DAD5F">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工程内部整洁、无渗漏水，空气和饮用水符合国家有关卫生标准；</w:t>
      </w:r>
    </w:p>
    <w:p w14:paraId="50F97AF4">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防护密闭设备、设施性能良好；</w:t>
      </w:r>
    </w:p>
    <w:p w14:paraId="167D5336">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风、水、电、暖、通信、消防系统工作正常；</w:t>
      </w:r>
    </w:p>
    <w:p w14:paraId="4FC482CE">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金属、木质部件无锈蚀损坏；</w:t>
      </w:r>
    </w:p>
    <w:p w14:paraId="04260C41">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六</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进出口道路畅通，孔口伪装及地面附属设施完好；</w:t>
      </w:r>
    </w:p>
    <w:p w14:paraId="269CF676">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防汛设施安全可靠；</w:t>
      </w:r>
    </w:p>
    <w:p w14:paraId="0F51BBAC">
      <w:pPr>
        <w:pStyle w:val="2"/>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八</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人防标识标牌悬挂牢固，内容完整。</w:t>
      </w:r>
    </w:p>
    <w:p w14:paraId="2D705D49">
      <w:pPr>
        <w:pStyle w:val="5"/>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578" w:lineRule="exact"/>
        <w:ind w:firstLine="640" w:firstLineChars="200"/>
        <w:jc w:val="both"/>
        <w:textAlignment w:val="auto"/>
        <w:rPr>
          <w:rFonts w:hint="eastAsia" w:ascii="方正黑体_GBK" w:hAnsi="方正黑体_GBK" w:eastAsia="方正黑体_GBK" w:cs="方正黑体_GBK"/>
          <w:color w:val="000000" w:themeColor="text1"/>
          <w:sz w:val="32"/>
          <w:szCs w:val="32"/>
          <w:lang w:eastAsia="zh-CN"/>
          <w14:textFill>
            <w14:solidFill>
              <w14:schemeClr w14:val="tx1"/>
            </w14:solidFill>
          </w14:textFill>
        </w:rPr>
      </w:pPr>
      <w:r>
        <w:rPr>
          <w:rFonts w:hint="eastAsia" w:ascii="方正黑体_GBK" w:hAnsi="方正黑体_GBK" w:eastAsia="方正黑体_GBK" w:cs="方正黑体_GBK"/>
          <w:color w:val="000000" w:themeColor="text1"/>
          <w:sz w:val="32"/>
          <w:szCs w:val="32"/>
          <w:lang w:eastAsia="zh-CN"/>
          <w14:textFill>
            <w14:solidFill>
              <w14:schemeClr w14:val="tx1"/>
            </w14:solidFill>
          </w14:textFill>
        </w:rPr>
        <w:t>二、使用和维护管理责任</w:t>
      </w:r>
    </w:p>
    <w:p w14:paraId="278A36B5">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人防工程</w:t>
      </w:r>
      <w:r>
        <w:rPr>
          <w:rFonts w:hint="eastAsia" w:ascii="仿宋_GB2312" w:hAnsi="仿宋_GB2312" w:eastAsia="仿宋_GB2312" w:cs="仿宋_GB2312"/>
          <w:color w:val="000000" w:themeColor="text1"/>
          <w:sz w:val="32"/>
          <w:szCs w:val="32"/>
          <w:lang w:eastAsia="zh-CN"/>
          <w14:textFill>
            <w14:solidFill>
              <w14:schemeClr w14:val="tx1"/>
            </w14:solidFill>
          </w14:textFill>
        </w:rPr>
        <w:t>平时使用和维护管理依法由工程隶属单位或使用单位负责。</w:t>
      </w:r>
    </w:p>
    <w:p w14:paraId="6B4BB324">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）若工程隶属单位、使用单位合并、分立的，依法由合并、分立后承受其权利和义务的单位负责</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人防工程</w:t>
      </w:r>
      <w:r>
        <w:rPr>
          <w:rFonts w:hint="eastAsia" w:ascii="仿宋_GB2312" w:hAnsi="仿宋_GB2312" w:eastAsia="仿宋_GB2312" w:cs="仿宋_GB2312"/>
          <w:color w:val="000000" w:themeColor="text1"/>
          <w:sz w:val="32"/>
          <w:szCs w:val="32"/>
          <w:lang w:eastAsia="zh-CN"/>
          <w14:textFill>
            <w14:solidFill>
              <w14:schemeClr w14:val="tx1"/>
            </w14:solidFill>
          </w14:textFill>
        </w:rPr>
        <w:t>维护管理责任。若工程隶属单位、使用单位注销的，应当事先落实</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人防工程</w:t>
      </w:r>
      <w:r>
        <w:rPr>
          <w:rFonts w:hint="eastAsia" w:ascii="仿宋_GB2312" w:hAnsi="仿宋_GB2312" w:eastAsia="仿宋_GB2312" w:cs="仿宋_GB2312"/>
          <w:color w:val="000000" w:themeColor="text1"/>
          <w:sz w:val="32"/>
          <w:szCs w:val="32"/>
          <w:lang w:eastAsia="zh-CN"/>
          <w14:textFill>
            <w14:solidFill>
              <w14:schemeClr w14:val="tx1"/>
            </w14:solidFill>
          </w14:textFill>
        </w:rPr>
        <w:t>使用和维护管理承接单位，向其移交防空地下室工程档案资料，同时按照规定协助承接单位向当地人民防空主管部门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申请</w:t>
      </w:r>
      <w:r>
        <w:rPr>
          <w:rFonts w:hint="eastAsia" w:ascii="仿宋_GB2312" w:hAnsi="仿宋_GB2312" w:eastAsia="仿宋_GB2312" w:cs="仿宋_GB2312"/>
          <w:color w:val="000000" w:themeColor="text1"/>
          <w:sz w:val="32"/>
          <w:szCs w:val="32"/>
          <w:lang w:eastAsia="zh-CN"/>
          <w14:textFill>
            <w14:solidFill>
              <w14:schemeClr w14:val="tx1"/>
            </w14:solidFill>
          </w14:textFill>
        </w:rPr>
        <w:t>办理人民防空工程平时使用备案登记手续。无承接单位的，由当地人民防空主管部门进行管理。</w:t>
      </w:r>
    </w:p>
    <w:p w14:paraId="46CC3AC6">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）为防止防空地下室弃置、无人管理、失修和损坏，工程隶属单位、使用单位可依法自行或者委托单位实施防空地下室日常维护管理。</w:t>
      </w:r>
      <w:r>
        <w:rPr>
          <w:rFonts w:hint="eastAsia" w:ascii="仿宋_GB2312" w:hAnsi="仿宋_GB2312" w:eastAsia="仿宋_GB2312" w:cs="仿宋_GB2312"/>
          <w:color w:val="000000" w:themeColor="text1"/>
          <w:spacing w:val="-6"/>
          <w:kern w:val="0"/>
          <w:sz w:val="32"/>
          <w:szCs w:val="32"/>
          <w:lang w:eastAsia="zh-CN"/>
          <w14:textFill>
            <w14:solidFill>
              <w14:schemeClr w14:val="tx1"/>
            </w14:solidFill>
          </w14:textFill>
        </w:rPr>
        <w:t>工程隶属单位、使用单位委托物业管理等单位实施日常维护管理的，应当与物业管理单位、使用单位签订使用和维护管理协议，</w:t>
      </w:r>
      <w:r>
        <w:rPr>
          <w:rFonts w:hint="eastAsia" w:ascii="仿宋_GB2312" w:hAnsi="仿宋_GB2312" w:eastAsia="仿宋_GB2312" w:cs="仿宋_GB2312"/>
          <w:snapToGrid w:val="0"/>
          <w:color w:val="000000" w:themeColor="text1"/>
          <w:spacing w:val="-6"/>
          <w:kern w:val="0"/>
          <w:sz w:val="32"/>
          <w:szCs w:val="32"/>
          <w:lang w:eastAsia="zh-CN"/>
          <w14:textFill>
            <w14:solidFill>
              <w14:schemeClr w14:val="tx1"/>
            </w14:solidFill>
          </w14:textFill>
        </w:rPr>
        <w:t>明确防空地下室安全使用和维护管理责任，并自签订协议之日起1个月内将有关协议报送当地人民防空行政主管部门。</w:t>
      </w:r>
    </w:p>
    <w:p w14:paraId="42C53772">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lang w:eastAsia="zh-CN"/>
          <w14:textFill>
            <w14:solidFill>
              <w14:schemeClr w14:val="tx1"/>
            </w14:solidFill>
          </w14:textFill>
        </w:rPr>
        <w:t>）依法建立健全平时使用和维护管理制度、档案制度、岗位责任制度。确定专职或者兼职维护管理人员，定期检查、维护、保养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人防工程</w:t>
      </w:r>
      <w:r>
        <w:rPr>
          <w:rFonts w:hint="eastAsia" w:ascii="仿宋_GB2312" w:hAnsi="仿宋_GB2312" w:eastAsia="仿宋_GB2312" w:cs="仿宋_GB2312"/>
          <w:color w:val="000000" w:themeColor="text1"/>
          <w:sz w:val="32"/>
          <w:szCs w:val="32"/>
          <w:lang w:eastAsia="zh-CN"/>
          <w14:textFill>
            <w14:solidFill>
              <w14:schemeClr w14:val="tx1"/>
            </w14:solidFill>
          </w14:textFill>
        </w:rPr>
        <w:t>，妥善保管维护管理档案，保持</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人防工程</w:t>
      </w:r>
      <w:r>
        <w:rPr>
          <w:rFonts w:hint="eastAsia" w:ascii="仿宋_GB2312" w:hAnsi="仿宋_GB2312" w:eastAsia="仿宋_GB2312" w:cs="仿宋_GB2312"/>
          <w:color w:val="000000" w:themeColor="text1"/>
          <w:sz w:val="32"/>
          <w:szCs w:val="32"/>
          <w:lang w:eastAsia="zh-CN"/>
          <w14:textFill>
            <w14:solidFill>
              <w14:schemeClr w14:val="tx1"/>
            </w14:solidFill>
          </w14:textFill>
        </w:rPr>
        <w:t>良好使用效能。</w:t>
      </w:r>
    </w:p>
    <w:p w14:paraId="48A04D6C">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lang w:eastAsia="zh-CN"/>
          <w14:textFill>
            <w14:solidFill>
              <w14:schemeClr w14:val="tx1"/>
            </w14:solidFill>
          </w14:textFill>
        </w:rPr>
        <w:t>）确因建设或平时使用，需要对防空地下室进行改造、装修等，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依法</w:t>
      </w:r>
      <w:r>
        <w:rPr>
          <w:rFonts w:hint="eastAsia" w:ascii="仿宋_GB2312" w:hAnsi="仿宋_GB2312" w:eastAsia="仿宋_GB2312" w:cs="仿宋_GB2312"/>
          <w:color w:val="000000" w:themeColor="text1"/>
          <w:sz w:val="32"/>
          <w:szCs w:val="32"/>
          <w:lang w:eastAsia="zh-CN"/>
          <w14:textFill>
            <w14:solidFill>
              <w14:schemeClr w14:val="tx1"/>
            </w14:solidFill>
          </w14:textFill>
        </w:rPr>
        <w:t>报经所在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市、</w:t>
      </w:r>
      <w:r>
        <w:rPr>
          <w:rFonts w:hint="eastAsia" w:ascii="仿宋_GB2312" w:hAnsi="仿宋_GB2312" w:eastAsia="仿宋_GB2312" w:cs="仿宋_GB2312"/>
          <w:color w:val="000000" w:themeColor="text1"/>
          <w:sz w:val="32"/>
          <w:szCs w:val="32"/>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人防</w:t>
      </w:r>
      <w:r>
        <w:rPr>
          <w:rFonts w:hint="eastAsia" w:ascii="仿宋_GB2312" w:hAnsi="仿宋_GB2312" w:eastAsia="仿宋_GB2312" w:cs="仿宋_GB2312"/>
          <w:color w:val="000000" w:themeColor="text1"/>
          <w:sz w:val="32"/>
          <w:szCs w:val="32"/>
          <w:lang w:eastAsia="zh-CN"/>
          <w14:textFill>
            <w14:solidFill>
              <w14:schemeClr w14:val="tx1"/>
            </w14:solidFill>
          </w14:textFill>
        </w:rPr>
        <w:t>主管部门批准。</w:t>
      </w:r>
    </w:p>
    <w:p w14:paraId="0A982514">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六</w:t>
      </w:r>
      <w:r>
        <w:rPr>
          <w:rFonts w:hint="eastAsia" w:ascii="仿宋_GB2312" w:hAnsi="仿宋_GB2312" w:eastAsia="仿宋_GB2312" w:cs="仿宋_GB2312"/>
          <w:color w:val="000000" w:themeColor="text1"/>
          <w:sz w:val="32"/>
          <w:szCs w:val="32"/>
          <w:lang w:eastAsia="zh-CN"/>
          <w14:textFill>
            <w14:solidFill>
              <w14:schemeClr w14:val="tx1"/>
            </w14:solidFill>
          </w14:textFill>
        </w:rPr>
        <w:t>）其他</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p w14:paraId="65B318CA">
      <w:pPr>
        <w:pStyle w:val="5"/>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578" w:lineRule="exact"/>
        <w:ind w:firstLine="640" w:firstLineChars="200"/>
        <w:jc w:val="both"/>
        <w:textAlignment w:val="auto"/>
        <w:rPr>
          <w:rFonts w:hint="eastAsia" w:ascii="方正黑体_GBK" w:hAnsi="方正黑体_GBK" w:eastAsia="方正黑体_GBK" w:cs="方正黑体_GBK"/>
          <w:color w:val="000000" w:themeColor="text1"/>
          <w:sz w:val="32"/>
          <w:szCs w:val="32"/>
          <w:lang w:eastAsia="zh-CN"/>
          <w14:textFill>
            <w14:solidFill>
              <w14:schemeClr w14:val="tx1"/>
            </w14:solidFill>
          </w14:textFill>
        </w:rPr>
      </w:pPr>
      <w:r>
        <w:rPr>
          <w:rFonts w:hint="eastAsia" w:ascii="方正黑体_GBK" w:hAnsi="方正黑体_GBK" w:eastAsia="方正黑体_GBK" w:cs="方正黑体_GBK"/>
          <w:color w:val="000000" w:themeColor="text1"/>
          <w:sz w:val="32"/>
          <w:szCs w:val="32"/>
          <w:lang w:eastAsia="zh-CN"/>
          <w14:textFill>
            <w14:solidFill>
              <w14:schemeClr w14:val="tx1"/>
            </w14:solidFill>
          </w14:textFill>
        </w:rPr>
        <w:t>三、日常使用要求</w:t>
      </w:r>
    </w:p>
    <w:p w14:paraId="53BBB0CA">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工程隶属单位、使用单位平时使用防空地下室应当符合下列安全措施：</w:t>
      </w:r>
    </w:p>
    <w:p w14:paraId="6CC0EE37">
      <w:pPr>
        <w:keepNext w:val="0"/>
        <w:keepLines w:val="0"/>
        <w:pageBreakBefore w:val="0"/>
        <w:widowControl w:val="0"/>
        <w:numPr>
          <w:ilvl w:val="0"/>
          <w:numId w:val="0"/>
        </w:numPr>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严格用电管理，定期对电路和电器设备进行检查，不得乱拉、乱接临时用电线路，严禁超负荷用电；</w:t>
      </w:r>
    </w:p>
    <w:p w14:paraId="37EA56E4">
      <w:pPr>
        <w:keepNext w:val="0"/>
        <w:keepLines w:val="0"/>
        <w:pageBreakBefore w:val="0"/>
        <w:widowControl w:val="0"/>
        <w:numPr>
          <w:ilvl w:val="0"/>
          <w:numId w:val="0"/>
        </w:numPr>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制定防汛方案和应急措施，做好防汛排涝和防雨水倒灌等工作；</w:t>
      </w:r>
    </w:p>
    <w:p w14:paraId="4CD32F6B">
      <w:pPr>
        <w:keepNext w:val="0"/>
        <w:keepLines w:val="0"/>
        <w:pageBreakBefore w:val="0"/>
        <w:widowControl w:val="0"/>
        <w:numPr>
          <w:ilvl w:val="0"/>
          <w:numId w:val="0"/>
        </w:numPr>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snapToGrid w:val="0"/>
          <w:color w:val="000000" w:themeColor="text1"/>
          <w:spacing w:val="6"/>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（三）</w:t>
      </w:r>
      <w:r>
        <w:rPr>
          <w:rFonts w:hint="eastAsia" w:ascii="仿宋_GB2312" w:hAnsi="仿宋_GB2312" w:eastAsia="仿宋_GB2312" w:cs="仿宋_GB2312"/>
          <w:snapToGrid w:val="0"/>
          <w:color w:val="000000" w:themeColor="text1"/>
          <w:spacing w:val="6"/>
          <w:kern w:val="0"/>
          <w:sz w:val="32"/>
          <w:szCs w:val="32"/>
          <w:lang w:eastAsia="zh-CN"/>
          <w14:textFill>
            <w14:solidFill>
              <w14:schemeClr w14:val="tx1"/>
            </w14:solidFill>
          </w14:textFill>
        </w:rPr>
        <w:t>建立定期安全检查制度，发现治安和火灾隐患及时整改；</w:t>
      </w:r>
    </w:p>
    <w:p w14:paraId="68BAF004">
      <w:pPr>
        <w:keepNext w:val="0"/>
        <w:keepLines w:val="0"/>
        <w:pageBreakBefore w:val="0"/>
        <w:widowControl w:val="0"/>
        <w:numPr>
          <w:ilvl w:val="0"/>
          <w:numId w:val="0"/>
        </w:numPr>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（四）</w:t>
      </w:r>
      <w:r>
        <w:rPr>
          <w:rFonts w:hint="eastAsia" w:ascii="仿宋_GB2312" w:hAnsi="仿宋_GB2312" w:eastAsia="仿宋_GB2312" w:cs="仿宋_GB2312"/>
          <w:color w:val="000000" w:themeColor="text1"/>
          <w:sz w:val="32"/>
          <w:szCs w:val="32"/>
          <w:lang w:eastAsia="zh-CN"/>
          <w14:textFill>
            <w14:solidFill>
              <w14:schemeClr w14:val="tx1"/>
            </w14:solidFill>
          </w14:textFill>
        </w:rPr>
        <w:t>人员避难</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通</w:t>
      </w:r>
      <w:r>
        <w:rPr>
          <w:rFonts w:hint="eastAsia" w:ascii="仿宋_GB2312" w:hAnsi="仿宋_GB2312" w:eastAsia="仿宋_GB2312" w:cs="仿宋_GB2312"/>
          <w:color w:val="000000" w:themeColor="text1"/>
          <w:sz w:val="32"/>
          <w:szCs w:val="32"/>
          <w:lang w:eastAsia="zh-CN"/>
          <w14:textFill>
            <w14:solidFill>
              <w14:schemeClr w14:val="tx1"/>
            </w14:solidFill>
          </w14:textFill>
        </w:rPr>
        <w:t>道、疏散</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通</w:t>
      </w:r>
      <w:r>
        <w:rPr>
          <w:rFonts w:hint="eastAsia" w:ascii="仿宋_GB2312" w:hAnsi="仿宋_GB2312" w:eastAsia="仿宋_GB2312" w:cs="仿宋_GB2312"/>
          <w:color w:val="000000" w:themeColor="text1"/>
          <w:sz w:val="32"/>
          <w:szCs w:val="32"/>
          <w:lang w:eastAsia="zh-CN"/>
          <w14:textFill>
            <w14:solidFill>
              <w14:schemeClr w14:val="tx1"/>
            </w14:solidFill>
          </w14:textFill>
        </w:rPr>
        <w:t>道及出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入</w:t>
      </w:r>
      <w:r>
        <w:rPr>
          <w:rFonts w:hint="eastAsia" w:ascii="仿宋_GB2312" w:hAnsi="仿宋_GB2312" w:eastAsia="仿宋_GB2312" w:cs="仿宋_GB2312"/>
          <w:color w:val="000000" w:themeColor="text1"/>
          <w:sz w:val="32"/>
          <w:szCs w:val="32"/>
          <w:lang w:eastAsia="zh-CN"/>
          <w14:textFill>
            <w14:solidFill>
              <w14:schemeClr w14:val="tx1"/>
            </w14:solidFill>
          </w14:textFill>
        </w:rPr>
        <w:t>口处，不得摆设柜台、占道经营，并设置火灾疏散指示标志和标志灯；</w:t>
      </w:r>
    </w:p>
    <w:p w14:paraId="43E8EAE4">
      <w:pPr>
        <w:keepNext w:val="0"/>
        <w:keepLines w:val="0"/>
        <w:pageBreakBefore w:val="0"/>
        <w:widowControl w:val="0"/>
        <w:numPr>
          <w:ilvl w:val="0"/>
          <w:numId w:val="0"/>
        </w:numPr>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（五）</w:t>
      </w:r>
      <w:r>
        <w:rPr>
          <w:rFonts w:hint="eastAsia" w:ascii="仿宋_GB2312" w:hAnsi="仿宋_GB2312" w:eastAsia="仿宋_GB2312" w:cs="仿宋_GB2312"/>
          <w:color w:val="000000" w:themeColor="text1"/>
          <w:sz w:val="32"/>
          <w:szCs w:val="32"/>
          <w:lang w:eastAsia="zh-CN"/>
          <w14:textFill>
            <w14:solidFill>
              <w14:schemeClr w14:val="tx1"/>
            </w14:solidFill>
          </w14:textFill>
        </w:rPr>
        <w:t>建立昼夜值班巡视制度，加强巡查，对影响安全使用的行为，及时制止；</w:t>
      </w:r>
    </w:p>
    <w:p w14:paraId="11C76CEB">
      <w:pPr>
        <w:keepNext w:val="0"/>
        <w:keepLines w:val="0"/>
        <w:pageBreakBefore w:val="0"/>
        <w:widowControl w:val="0"/>
        <w:numPr>
          <w:ilvl w:val="0"/>
          <w:numId w:val="0"/>
        </w:numPr>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（六）</w:t>
      </w:r>
      <w:r>
        <w:rPr>
          <w:rFonts w:hint="eastAsia" w:ascii="仿宋_GB2312" w:hAnsi="仿宋_GB2312" w:eastAsia="仿宋_GB2312" w:cs="仿宋_GB2312"/>
          <w:color w:val="000000" w:themeColor="text1"/>
          <w:sz w:val="32"/>
          <w:szCs w:val="32"/>
          <w:lang w:eastAsia="zh-CN"/>
          <w14:textFill>
            <w14:solidFill>
              <w14:schemeClr w14:val="tx1"/>
            </w14:solidFill>
          </w14:textFill>
        </w:rPr>
        <w:t>其他</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p w14:paraId="538DF6B6">
      <w:pPr>
        <w:pStyle w:val="5"/>
        <w:keepNext w:val="0"/>
        <w:keepLines w:val="0"/>
        <w:pageBreakBefore w:val="0"/>
        <w:widowControl w:val="0"/>
        <w:shd w:val="clear" w:color="auto"/>
        <w:kinsoku/>
        <w:wordWrap/>
        <w:overflowPunct/>
        <w:topLinePunct w:val="0"/>
        <w:autoSpaceDE/>
        <w:autoSpaceDN/>
        <w:bidi w:val="0"/>
        <w:adjustRightInd/>
        <w:snapToGrid/>
        <w:spacing w:before="0" w:beforeAutospacing="0" w:after="0" w:afterAutospacing="0" w:line="578" w:lineRule="exact"/>
        <w:ind w:firstLine="640" w:firstLineChars="200"/>
        <w:jc w:val="both"/>
        <w:textAlignment w:val="auto"/>
        <w:rPr>
          <w:rFonts w:hint="eastAsia" w:ascii="方正黑体_GBK" w:hAnsi="方正黑体_GBK" w:eastAsia="方正黑体_GBK" w:cs="方正黑体_GBK"/>
          <w:color w:val="000000" w:themeColor="text1"/>
          <w:sz w:val="32"/>
          <w:szCs w:val="32"/>
          <w:lang w:eastAsia="zh-CN"/>
          <w14:textFill>
            <w14:solidFill>
              <w14:schemeClr w14:val="tx1"/>
            </w14:solidFill>
          </w14:textFill>
        </w:rPr>
      </w:pPr>
      <w:r>
        <w:rPr>
          <w:rFonts w:hint="eastAsia" w:ascii="方正黑体_GBK" w:hAnsi="方正黑体_GBK" w:eastAsia="方正黑体_GBK" w:cs="方正黑体_GBK"/>
          <w:color w:val="000000" w:themeColor="text1"/>
          <w:sz w:val="32"/>
          <w:szCs w:val="32"/>
          <w:lang w:eastAsia="zh-CN"/>
          <w14:textFill>
            <w14:solidFill>
              <w14:schemeClr w14:val="tx1"/>
            </w14:solidFill>
          </w14:textFill>
        </w:rPr>
        <w:t>四、人防工程维护管理的具体内容</w:t>
      </w:r>
    </w:p>
    <w:p w14:paraId="05D1DF4E">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）工程口部。严禁在人防工程口部堆放杂物，造成口部堵塞，确保通道畅通。</w:t>
      </w:r>
    </w:p>
    <w:p w14:paraId="745567D7">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eastAsia="zh-CN"/>
          <w14:textFill>
            <w14:solidFill>
              <w14:schemeClr w14:val="tx1"/>
            </w14:solidFill>
          </w14:textFill>
        </w:rPr>
        <w:t>）主体结构。人防工程的主体结构包括顶板、底板和临空墙。严禁在人防工程内部进行结构性改造施工作业，禁止在临空墙和顶板、底板上打眼穿洞。凡违反人防法的规定，私自进行</w:t>
      </w:r>
      <w:r>
        <w:rPr>
          <w:rFonts w:hint="eastAsia" w:ascii="仿宋_GB2312" w:hAnsi="仿宋_GB2312" w:eastAsia="仿宋_GB2312" w:cs="仿宋_GB2312"/>
          <w:color w:val="000000" w:themeColor="text1"/>
          <w:spacing w:val="-6"/>
          <w:sz w:val="32"/>
          <w:szCs w:val="32"/>
          <w:lang w:eastAsia="zh-CN"/>
          <w14:textFill>
            <w14:solidFill>
              <w14:schemeClr w14:val="tx1"/>
            </w14:solidFill>
          </w14:textFill>
        </w:rPr>
        <w:t>结构性改造的，一经发现将按规定要求予以处罚，并限期整改恢复。</w:t>
      </w:r>
    </w:p>
    <w:p w14:paraId="103B6921">
      <w:pPr>
        <w:keepNext w:val="0"/>
        <w:keepLines w:val="0"/>
        <w:pageBreakBefore w:val="0"/>
        <w:widowControl w:val="0"/>
        <w:shd w:val="clea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防护门。防护门是战时防护的重要设备，由门、密封胶带、门轴、闭锁装置等构件组成。要定期除锈、刷漆、注油，损坏的密封胶条要及时更换;任何单位不能擅自拆卸，长期开启不用的防护门要用三角木垫支撑，防止因重力作用造成门轴变形。</w:t>
      </w:r>
    </w:p>
    <w:p w14:paraId="1DDEC8EF">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lang w:eastAsia="zh-CN"/>
          <w14:textFill>
            <w14:solidFill>
              <w14:schemeClr w14:val="tx1"/>
            </w14:solidFill>
          </w14:textFill>
        </w:rPr>
        <w:t>）防爆波活门。要确保防爆波活门零配件齐全，并进行日常维护，除锈、刷漆确保防护功能不受损害，不得擅自拆卸。</w:t>
      </w:r>
    </w:p>
    <w:p w14:paraId="38E7B4E4">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lang w:eastAsia="zh-CN"/>
          <w14:textFill>
            <w14:solidFill>
              <w14:schemeClr w14:val="tx1"/>
            </w14:solidFill>
          </w14:textFill>
        </w:rPr>
        <w:t>）通风设施。通风设施包括风机、风管等。除定期开启外，还要除锈刷漆。对装有人工、电动两用脚踏风机的设备，除平时定期运转外，还需加强管护，确保零部件的完整，且设施性能处于良好状态。</w:t>
      </w:r>
    </w:p>
    <w:p w14:paraId="7473E86B">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（六）滤毒设备。滤毒设备包括过滤吸收器、滤毒器和滤尘器，平时要定期进行封闭检查，并对表面进行除锈处理。有开关的部位要经常注油保养，滤网要定期更换。</w:t>
      </w:r>
    </w:p>
    <w:p w14:paraId="15B194A6">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七</w:t>
      </w:r>
      <w:r>
        <w:rPr>
          <w:rFonts w:hint="eastAsia" w:ascii="仿宋_GB2312" w:hAnsi="仿宋_GB2312" w:eastAsia="仿宋_GB2312" w:cs="仿宋_GB2312"/>
          <w:color w:val="000000" w:themeColor="text1"/>
          <w:sz w:val="32"/>
          <w:szCs w:val="32"/>
          <w:lang w:eastAsia="zh-CN"/>
          <w14:textFill>
            <w14:solidFill>
              <w14:schemeClr w14:val="tx1"/>
            </w14:solidFill>
          </w14:textFill>
        </w:rPr>
        <w:t>）给排水设备。主要做到给排水设备定期开启，保持积水池的清洁，加强维护，确保设备功能完好。</w:t>
      </w:r>
    </w:p>
    <w:p w14:paraId="4E382CAB">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八</w:t>
      </w:r>
      <w:r>
        <w:rPr>
          <w:rFonts w:hint="eastAsia" w:ascii="仿宋_GB2312" w:hAnsi="仿宋_GB2312" w:eastAsia="仿宋_GB2312" w:cs="仿宋_GB2312"/>
          <w:color w:val="000000" w:themeColor="text1"/>
          <w:sz w:val="32"/>
          <w:szCs w:val="32"/>
          <w:lang w:eastAsia="zh-CN"/>
          <w14:textFill>
            <w14:solidFill>
              <w14:schemeClr w14:val="tx1"/>
            </w14:solidFill>
          </w14:textFill>
        </w:rPr>
        <w:t>）消防设备。主要是指消火栓和灭火器等消防器材，要确保设备齐全和完好，灭火器内药粉定期更换。</w:t>
      </w:r>
    </w:p>
    <w:p w14:paraId="0D7D37E2">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九</w:t>
      </w:r>
      <w:r>
        <w:rPr>
          <w:rFonts w:hint="eastAsia" w:ascii="仿宋_GB2312" w:hAnsi="仿宋_GB2312" w:eastAsia="仿宋_GB2312" w:cs="仿宋_GB2312"/>
          <w:color w:val="000000" w:themeColor="text1"/>
          <w:sz w:val="32"/>
          <w:szCs w:val="32"/>
          <w:lang w:eastAsia="zh-CN"/>
          <w14:textFill>
            <w14:solidFill>
              <w14:schemeClr w14:val="tx1"/>
            </w14:solidFill>
          </w14:textFill>
        </w:rPr>
        <w:t>）发电机组。要定期开启运行，指定专人负责，确保发电设备性能完好。</w:t>
      </w:r>
    </w:p>
    <w:p w14:paraId="231E407B">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十</w:t>
      </w:r>
      <w:r>
        <w:rPr>
          <w:rFonts w:hint="eastAsia" w:ascii="仿宋_GB2312" w:hAnsi="仿宋_GB2312" w:eastAsia="仿宋_GB2312" w:cs="仿宋_GB2312"/>
          <w:color w:val="000000" w:themeColor="text1"/>
          <w:sz w:val="32"/>
          <w:szCs w:val="32"/>
          <w:lang w:eastAsia="zh-CN"/>
          <w14:textFill>
            <w14:solidFill>
              <w14:schemeClr w14:val="tx1"/>
            </w14:solidFill>
          </w14:textFill>
        </w:rPr>
        <w:t>）战时水箱。水箱及附属设施要定期检查维护，除锈刷漆，不得私自拆卸。</w:t>
      </w:r>
    </w:p>
    <w:p w14:paraId="7CD144A6">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（十一）平战转换构件。不同封堵部位的封堵构件要分类分地方存放，不得随意挪动。定期检查保养，特别是钢制构件要防锈蚀，必要时进行刷漆。</w:t>
      </w:r>
    </w:p>
    <w:p w14:paraId="4D3A6629">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（十二）人防标识牌。应悬挂牢固，无丢失、松动、剥落、变形现象，颜色无褪色、字迹不模糊，并定期做好检查。</w:t>
      </w:r>
    </w:p>
    <w:p w14:paraId="0CF0C4F4">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（十三）其它设备。如防爆按钮、测压管、防爆地漏、电源控制箱、信号显示箱等设备，要定期检查维护，定期开启，不得私自拆卸。</w:t>
      </w:r>
    </w:p>
    <w:p w14:paraId="08F99836">
      <w:pPr>
        <w:keepNext w:val="0"/>
        <w:keepLines w:val="0"/>
        <w:pageBreakBefore w:val="0"/>
        <w:widowControl w:val="0"/>
        <w:shd w:val="clear"/>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我</w:t>
      </w:r>
      <w:r>
        <w:rPr>
          <w:rFonts w:hint="eastAsia" w:ascii="仿宋_GB2312" w:hAnsi="仿宋_GB2312" w:eastAsia="仿宋_GB2312" w:cs="仿宋_GB2312"/>
          <w:color w:val="000000" w:themeColor="text1"/>
          <w:sz w:val="32"/>
          <w:szCs w:val="32"/>
          <w:lang w:eastAsia="zh-CN"/>
          <w14:textFill>
            <w14:solidFill>
              <w14:schemeClr w14:val="tx1"/>
            </w14:solidFill>
          </w14:textFill>
        </w:rPr>
        <w:t>单位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已明确</w:t>
      </w:r>
      <w:r>
        <w:rPr>
          <w:rFonts w:hint="eastAsia" w:ascii="仿宋_GB2312" w:hAnsi="仿宋_GB2312" w:eastAsia="仿宋_GB2312" w:cs="仿宋_GB2312"/>
          <w:bCs/>
          <w:color w:val="000000" w:themeColor="text1"/>
          <w:sz w:val="32"/>
          <w:szCs w:val="32"/>
          <w:shd w:val="clear" w:color="auto" w:fill="FFFFFF"/>
          <w14:textFill>
            <w14:solidFill>
              <w14:schemeClr w14:val="tx1"/>
            </w14:solidFill>
          </w14:textFill>
        </w:rPr>
        <w:t>人防工程维护管理的标准</w:t>
      </w:r>
      <w:r>
        <w:rPr>
          <w:rFonts w:hint="eastAsia" w:ascii="仿宋_GB2312" w:hAnsi="仿宋_GB2312" w:eastAsia="仿宋_GB2312" w:cs="仿宋_GB2312"/>
          <w:bCs/>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shd w:val="clear" w:color="auto" w:fill="FFFFFF"/>
          <w:lang w:val="en-US" w:eastAsia="zh-CN"/>
          <w14:textFill>
            <w14:solidFill>
              <w14:schemeClr w14:val="tx1"/>
            </w14:solidFill>
          </w14:textFill>
        </w:rPr>
        <w:t>具体内容以及责任义务</w:t>
      </w:r>
      <w:r>
        <w:rPr>
          <w:rFonts w:hint="eastAsia" w:ascii="仿宋_GB2312" w:hAnsi="仿宋_GB2312" w:eastAsia="仿宋_GB2312" w:cs="仿宋_GB2312"/>
          <w:color w:val="000000" w:themeColor="text1"/>
          <w:sz w:val="32"/>
          <w:szCs w:val="32"/>
          <w:lang w:eastAsia="zh-CN"/>
          <w14:textFill>
            <w14:solidFill>
              <w14:schemeClr w14:val="tx1"/>
            </w14:solidFill>
          </w14:textFill>
        </w:rPr>
        <w:t>，将自觉接受县级以上人民防空主管部门监督检查和管理，对检查中发现的问题，及时按照人防主管部门的要求进行整改。</w:t>
      </w:r>
    </w:p>
    <w:p w14:paraId="736FEE64">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43043B91">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0D214A13">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3A280DC3">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77B75CC9">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4DEEF4B5">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45695E26">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2AA16B47">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537F7D90">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49DB279F">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4403F085">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6EAC4C3F">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04B342A9">
      <w:pPr>
        <w:keepNext w:val="0"/>
        <w:keepLines w:val="0"/>
        <w:pageBreakBefore w:val="0"/>
        <w:widowControl w:val="0"/>
        <w:pBdr>
          <w:bottom w:val="none" w:color="auto" w:sz="0" w:space="0"/>
        </w:pBdr>
        <w:shd w:val="clear"/>
        <w:kinsoku/>
        <w:wordWrap/>
        <w:overflowPunct/>
        <w:topLinePunct w:val="0"/>
        <w:autoSpaceDE/>
        <w:autoSpaceDN/>
        <w:bidi w:val="0"/>
        <w:adjustRightInd/>
        <w:snapToGrid/>
        <w:spacing w:line="578" w:lineRule="exact"/>
        <w:ind w:left="0" w:leftChars="0" w:firstLine="1600" w:firstLineChars="5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027497F4">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lang w:val="en-US" w:eastAsia="zh-CN"/>
        </w:rPr>
      </w:pPr>
      <w:bookmarkStart w:id="0" w:name="_GoBack"/>
      <w:bookmarkEnd w:id="0"/>
    </w:p>
    <w:sectPr>
      <w:pgSz w:w="11905" w:h="16838"/>
      <w:pgMar w:top="2098" w:right="1531" w:bottom="1984" w:left="1531" w:header="0" w:footer="1531"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_GBK">
    <w:altName w:val="Arial Unicode MS"/>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黑体_GBK">
    <w:altName w:val="Arial Unicode MS"/>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57632">
    <w:pPr>
      <w:spacing w:before="1" w:line="176" w:lineRule="auto"/>
      <w:ind w:left="614"/>
      <w:rPr>
        <w:rFonts w:ascii="宋体" w:hAnsi="宋体" w:eastAsia="宋体" w:cs="宋体"/>
        <w:sz w:val="30"/>
        <w:szCs w:val="30"/>
      </w:rPr>
    </w:pPr>
    <w:r>
      <w:rPr>
        <w:sz w:val="3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FB7F5C">
                          <w:pPr>
                            <w:pStyle w:val="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0FB7F5C">
                    <w:pPr>
                      <w:pStyle w:val="3"/>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wOGY2YzNmNTVjOWI2N2VkNjYwZGVhZWEwZmU2Y2YifQ=="/>
  </w:docVars>
  <w:rsids>
    <w:rsidRoot w:val="7EA06F7F"/>
    <w:rsid w:val="00396E8D"/>
    <w:rsid w:val="04A171B4"/>
    <w:rsid w:val="057B5C57"/>
    <w:rsid w:val="099D3B73"/>
    <w:rsid w:val="0B5331D2"/>
    <w:rsid w:val="0D371663"/>
    <w:rsid w:val="0E4F7C80"/>
    <w:rsid w:val="0F984B87"/>
    <w:rsid w:val="11150B2A"/>
    <w:rsid w:val="166874AC"/>
    <w:rsid w:val="189D783A"/>
    <w:rsid w:val="1A8C2A7E"/>
    <w:rsid w:val="1F9D1F55"/>
    <w:rsid w:val="1FEB2891"/>
    <w:rsid w:val="20EB1A8B"/>
    <w:rsid w:val="20F70FD3"/>
    <w:rsid w:val="236724AF"/>
    <w:rsid w:val="242177D8"/>
    <w:rsid w:val="26B440A5"/>
    <w:rsid w:val="27FC632B"/>
    <w:rsid w:val="2D016192"/>
    <w:rsid w:val="30185CCC"/>
    <w:rsid w:val="32A371E1"/>
    <w:rsid w:val="332F5A5A"/>
    <w:rsid w:val="348641D8"/>
    <w:rsid w:val="386231EB"/>
    <w:rsid w:val="3AD2116E"/>
    <w:rsid w:val="3F2E7FA1"/>
    <w:rsid w:val="40327CFC"/>
    <w:rsid w:val="40D95004"/>
    <w:rsid w:val="4D2D0C7A"/>
    <w:rsid w:val="511D0F3D"/>
    <w:rsid w:val="52416EAD"/>
    <w:rsid w:val="534A1729"/>
    <w:rsid w:val="548F112D"/>
    <w:rsid w:val="556E2A25"/>
    <w:rsid w:val="59F578CB"/>
    <w:rsid w:val="5B4667BB"/>
    <w:rsid w:val="5B50381C"/>
    <w:rsid w:val="5B8C3E45"/>
    <w:rsid w:val="5CB8513F"/>
    <w:rsid w:val="5EA651D9"/>
    <w:rsid w:val="603E62FA"/>
    <w:rsid w:val="6054255D"/>
    <w:rsid w:val="61970898"/>
    <w:rsid w:val="63733F5D"/>
    <w:rsid w:val="646E5E05"/>
    <w:rsid w:val="67236729"/>
    <w:rsid w:val="67972C94"/>
    <w:rsid w:val="67E070EE"/>
    <w:rsid w:val="6D9A027D"/>
    <w:rsid w:val="70032223"/>
    <w:rsid w:val="702357E2"/>
    <w:rsid w:val="71515136"/>
    <w:rsid w:val="735F6D3B"/>
    <w:rsid w:val="74B40819"/>
    <w:rsid w:val="74BE13B1"/>
    <w:rsid w:val="791276E0"/>
    <w:rsid w:val="799931FA"/>
    <w:rsid w:val="7EA06F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Times New Roma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1635</Words>
  <Characters>1659</Characters>
  <Lines>0</Lines>
  <Paragraphs>0</Paragraphs>
  <TotalTime>166</TotalTime>
  <ScaleCrop>false</ScaleCrop>
  <LinksUpToDate>false</LinksUpToDate>
  <CharactersWithSpaces>1715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2024-04-16T00:05:00Z</dcterms:created>
  <dc:creator>JH</dc:creator>
  <cp:lastModifiedBy>　melody</cp:lastModifiedBy>
  <cp:lastPrinted>2024-06-03T03:28:00Z</cp:lastPrinted>
  <dcterms:modified xsi:type="dcterms:W3CDTF">2025-01-08T08:53:45Z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FCCE2905D18D4F1780AB8CF3287645CA_13</vt:lpwstr>
  </property>
</Properties>
</file>